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238FBB">
      <w:pPr>
        <w:spacing w:after="120"/>
        <w:jc w:val="center"/>
        <w:rPr>
          <w:rFonts w:ascii="Times New Roman" w:hAnsi="Times New Roman" w:eastAsia="华文新魏" w:cs="Times New Roman"/>
          <w:b/>
          <w:spacing w:val="-22"/>
          <w:sz w:val="52"/>
          <w:szCs w:val="52"/>
        </w:rPr>
      </w:pPr>
      <w:bookmarkStart w:id="0" w:name="OLE_LINK1"/>
    </w:p>
    <w:p w14:paraId="28DA16F9">
      <w:pPr>
        <w:spacing w:after="120"/>
        <w:jc w:val="center"/>
        <w:rPr>
          <w:rFonts w:ascii="Times New Roman" w:hAnsi="Times New Roman" w:eastAsia="华文新魏" w:cs="Times New Roman"/>
          <w:b/>
          <w:spacing w:val="-22"/>
          <w:sz w:val="52"/>
          <w:szCs w:val="52"/>
        </w:rPr>
      </w:pPr>
    </w:p>
    <w:p w14:paraId="27A9E6D4">
      <w:pPr>
        <w:snapToGrid w:val="0"/>
        <w:spacing w:line="312" w:lineRule="auto"/>
        <w:jc w:val="center"/>
        <w:rPr>
          <w:rFonts w:hint="eastAsia" w:ascii="华文新魏" w:hAnsi="华文新魏" w:eastAsia="华文新魏"/>
          <w:b/>
          <w:bCs/>
          <w:sz w:val="52"/>
          <w:lang w:eastAsia="zh-CN"/>
        </w:rPr>
      </w:pPr>
      <w:r>
        <w:rPr>
          <w:rFonts w:hint="eastAsia" w:ascii="华文新魏" w:hAnsi="华文新魏" w:eastAsia="华文新魏"/>
          <w:b/>
          <w:bCs/>
          <w:sz w:val="52"/>
          <w:lang w:eastAsia="zh-CN"/>
        </w:rPr>
        <w:t>2025年舟山市生态环境监测能力建设项目</w:t>
      </w:r>
    </w:p>
    <w:p w14:paraId="64E365E5">
      <w:pPr>
        <w:snapToGrid w:val="0"/>
        <w:spacing w:line="312" w:lineRule="auto"/>
        <w:jc w:val="center"/>
        <w:rPr>
          <w:rFonts w:hint="eastAsia" w:ascii="华文新魏" w:hAnsi="华文新魏" w:eastAsia="华文新魏"/>
          <w:b/>
          <w:bCs/>
          <w:sz w:val="52"/>
        </w:rPr>
      </w:pPr>
    </w:p>
    <w:p w14:paraId="24232313">
      <w:pPr>
        <w:snapToGrid w:val="0"/>
        <w:spacing w:line="312" w:lineRule="auto"/>
        <w:jc w:val="center"/>
        <w:rPr>
          <w:rFonts w:hint="eastAsia" w:ascii="华文新魏" w:hAnsi="华文新魏" w:eastAsia="华文新魏"/>
          <w:b/>
          <w:sz w:val="52"/>
        </w:rPr>
      </w:pPr>
      <w:r>
        <w:rPr>
          <w:rFonts w:hint="eastAsia" w:ascii="华文新魏" w:hAnsi="华文新魏" w:eastAsia="华文新魏"/>
          <w:b/>
          <w:bCs/>
          <w:sz w:val="52"/>
        </w:rPr>
        <w:t>招标文</w:t>
      </w:r>
      <w:r>
        <w:rPr>
          <w:rFonts w:hint="eastAsia" w:ascii="华文新魏" w:hAnsi="华文新魏" w:eastAsia="华文新魏"/>
          <w:b/>
          <w:sz w:val="52"/>
        </w:rPr>
        <w:t>件</w:t>
      </w:r>
    </w:p>
    <w:p w14:paraId="69A94957">
      <w:pPr>
        <w:pStyle w:val="36"/>
        <w:snapToGrid w:val="0"/>
        <w:spacing w:before="120" w:line="312" w:lineRule="auto"/>
        <w:rPr>
          <w:rFonts w:hint="eastAsia" w:hAnsi="宋体"/>
          <w:b/>
          <w:sz w:val="30"/>
        </w:rPr>
      </w:pPr>
    </w:p>
    <w:p w14:paraId="1A8B229D">
      <w:pPr>
        <w:pStyle w:val="36"/>
        <w:snapToGrid w:val="0"/>
        <w:spacing w:before="120" w:line="312" w:lineRule="auto"/>
        <w:rPr>
          <w:rFonts w:hint="eastAsia" w:ascii="华文新魏" w:hAnsi="华文新魏" w:eastAsia="华文新魏"/>
          <w:b/>
          <w:sz w:val="32"/>
        </w:rPr>
      </w:pPr>
    </w:p>
    <w:p w14:paraId="302D71B3">
      <w:pPr>
        <w:pStyle w:val="36"/>
        <w:snapToGrid w:val="0"/>
        <w:spacing w:before="120" w:line="312" w:lineRule="auto"/>
        <w:ind w:left="1602" w:hanging="1602" w:hangingChars="500"/>
        <w:rPr>
          <w:rFonts w:hint="eastAsia" w:ascii="华文新魏" w:hAnsi="华文新魏" w:eastAsia="华文新魏"/>
          <w:b/>
          <w:sz w:val="32"/>
          <w:szCs w:val="32"/>
          <w:lang w:eastAsia="zh-CN"/>
        </w:rPr>
      </w:pPr>
      <w:r>
        <w:rPr>
          <w:rFonts w:hint="eastAsia" w:ascii="华文新魏" w:hAnsi="华文新魏" w:eastAsia="华文新魏"/>
          <w:b/>
          <w:sz w:val="32"/>
        </w:rPr>
        <w:t>项目名称：</w:t>
      </w:r>
      <w:r>
        <w:rPr>
          <w:rFonts w:hint="eastAsia" w:ascii="华文新魏" w:hAnsi="华文新魏" w:eastAsia="华文新魏"/>
          <w:b/>
          <w:sz w:val="32"/>
          <w:lang w:eastAsia="zh-CN"/>
        </w:rPr>
        <w:t>2025年舟山市生态环境监测能力建设项目</w:t>
      </w:r>
    </w:p>
    <w:p w14:paraId="7B645D35">
      <w:pPr>
        <w:pStyle w:val="36"/>
        <w:snapToGrid w:val="0"/>
        <w:spacing w:before="120" w:line="312" w:lineRule="auto"/>
        <w:rPr>
          <w:rFonts w:hint="eastAsia" w:ascii="华文新魏" w:hAnsi="华文新魏" w:eastAsia="华文新魏"/>
          <w:b/>
          <w:w w:val="95"/>
          <w:sz w:val="32"/>
        </w:rPr>
      </w:pPr>
    </w:p>
    <w:p w14:paraId="3A9726B7">
      <w:pPr>
        <w:pStyle w:val="36"/>
        <w:snapToGrid w:val="0"/>
        <w:spacing w:before="120" w:line="312" w:lineRule="auto"/>
        <w:rPr>
          <w:rFonts w:hint="eastAsia" w:ascii="华文新魏" w:hAnsi="华文新魏" w:eastAsia="华文新魏"/>
          <w:b/>
          <w:w w:val="95"/>
          <w:sz w:val="32"/>
          <w:lang w:eastAsia="zh-CN"/>
        </w:rPr>
      </w:pPr>
      <w:r>
        <w:rPr>
          <w:rFonts w:hint="eastAsia" w:ascii="华文新魏" w:hAnsi="华文新魏" w:eastAsia="华文新魏"/>
          <w:b/>
          <w:w w:val="95"/>
          <w:sz w:val="32"/>
        </w:rPr>
        <w:t>项目编号：</w:t>
      </w:r>
      <w:r>
        <w:rPr>
          <w:rFonts w:hint="eastAsia" w:ascii="华文新魏" w:hAnsi="华文新魏" w:eastAsia="华文新魏"/>
          <w:b/>
          <w:w w:val="95"/>
          <w:sz w:val="32"/>
          <w:lang w:eastAsia="zh-CN"/>
        </w:rPr>
        <w:t>SZGXZS2025104</w:t>
      </w:r>
    </w:p>
    <w:p w14:paraId="127BAEDB">
      <w:pPr>
        <w:pStyle w:val="36"/>
        <w:snapToGrid w:val="0"/>
        <w:spacing w:before="120" w:line="312" w:lineRule="auto"/>
        <w:ind w:left="1520" w:hanging="1522" w:hangingChars="500"/>
        <w:rPr>
          <w:rFonts w:hint="eastAsia" w:ascii="华文新魏" w:hAnsi="华文新魏" w:eastAsia="华文新魏"/>
          <w:b/>
          <w:w w:val="95"/>
          <w:sz w:val="32"/>
        </w:rPr>
      </w:pPr>
    </w:p>
    <w:p w14:paraId="77B2CF16">
      <w:pPr>
        <w:pStyle w:val="36"/>
        <w:snapToGrid w:val="0"/>
        <w:spacing w:before="120" w:line="312" w:lineRule="auto"/>
        <w:ind w:left="1520" w:hanging="1522" w:hangingChars="500"/>
        <w:rPr>
          <w:rFonts w:hint="eastAsia" w:ascii="华文新魏" w:hAnsi="华文新魏" w:eastAsia="华文新魏"/>
          <w:sz w:val="32"/>
        </w:rPr>
      </w:pPr>
      <w:r>
        <w:rPr>
          <w:rFonts w:hint="eastAsia" w:ascii="华文新魏" w:hAnsi="华文新魏" w:eastAsia="华文新魏"/>
          <w:b/>
          <w:w w:val="95"/>
          <w:sz w:val="32"/>
        </w:rPr>
        <w:t>采购单位：舟山市生态环境局</w:t>
      </w:r>
    </w:p>
    <w:p w14:paraId="32A42FFD">
      <w:pPr>
        <w:pStyle w:val="36"/>
        <w:snapToGrid w:val="0"/>
        <w:spacing w:before="120" w:line="312" w:lineRule="auto"/>
        <w:rPr>
          <w:rFonts w:hint="eastAsia" w:ascii="华文新魏" w:hAnsi="华文新魏" w:eastAsia="华文新魏"/>
          <w:b/>
          <w:w w:val="95"/>
          <w:sz w:val="32"/>
        </w:rPr>
      </w:pPr>
    </w:p>
    <w:p w14:paraId="7366B9ED">
      <w:pPr>
        <w:pStyle w:val="36"/>
        <w:snapToGrid w:val="0"/>
        <w:spacing w:before="120" w:line="312" w:lineRule="auto"/>
        <w:rPr>
          <w:rFonts w:hint="eastAsia" w:ascii="华文新魏" w:hAnsi="华文新魏" w:eastAsia="华文新魏"/>
          <w:b/>
          <w:w w:val="95"/>
          <w:sz w:val="32"/>
        </w:rPr>
      </w:pPr>
      <w:r>
        <w:rPr>
          <w:rFonts w:hint="eastAsia" w:ascii="华文新魏" w:hAnsi="华文新魏" w:eastAsia="华文新魏"/>
          <w:b/>
          <w:w w:val="95"/>
          <w:sz w:val="32"/>
        </w:rPr>
        <w:t>代理机构：深圳市国信招标有限公司</w:t>
      </w:r>
    </w:p>
    <w:p w14:paraId="60B17306">
      <w:pPr>
        <w:pStyle w:val="36"/>
        <w:snapToGrid w:val="0"/>
        <w:spacing w:before="120" w:line="312" w:lineRule="auto"/>
        <w:rPr>
          <w:rFonts w:hint="eastAsia" w:ascii="华文新魏" w:hAnsi="华文新魏" w:eastAsia="华文新魏"/>
          <w:b/>
          <w:w w:val="95"/>
          <w:sz w:val="32"/>
        </w:rPr>
      </w:pPr>
    </w:p>
    <w:p w14:paraId="7E1F16FA">
      <w:pPr>
        <w:pStyle w:val="36"/>
        <w:snapToGrid w:val="0"/>
        <w:spacing w:before="120" w:line="312" w:lineRule="auto"/>
        <w:ind w:left="6057" w:leftChars="2409" w:hanging="998" w:hangingChars="328"/>
        <w:rPr>
          <w:rFonts w:hint="eastAsia" w:ascii="华文新魏" w:hAnsi="华文新魏" w:eastAsia="华文新魏"/>
          <w:b/>
          <w:w w:val="95"/>
          <w:sz w:val="32"/>
        </w:rPr>
      </w:pPr>
      <w:r>
        <w:rPr>
          <w:rFonts w:hint="eastAsia" w:ascii="华文新魏" w:hAnsi="华文新魏" w:eastAsia="华文新魏"/>
          <w:b/>
          <w:w w:val="95"/>
          <w:sz w:val="32"/>
        </w:rPr>
        <w:t>202</w:t>
      </w:r>
      <w:r>
        <w:rPr>
          <w:rFonts w:hint="eastAsia" w:ascii="华文新魏" w:hAnsi="华文新魏" w:eastAsia="华文新魏"/>
          <w:b/>
          <w:w w:val="95"/>
          <w:sz w:val="32"/>
          <w:lang w:val="en-US" w:eastAsia="zh-CN"/>
        </w:rPr>
        <w:t>5</w:t>
      </w:r>
      <w:r>
        <w:rPr>
          <w:rFonts w:hint="eastAsia" w:ascii="华文新魏" w:hAnsi="华文新魏" w:eastAsia="华文新魏"/>
          <w:b/>
          <w:w w:val="95"/>
          <w:sz w:val="32"/>
        </w:rPr>
        <w:t>年</w:t>
      </w:r>
      <w:r>
        <w:rPr>
          <w:rFonts w:hint="eastAsia" w:ascii="华文新魏" w:hAnsi="华文新魏" w:eastAsia="华文新魏"/>
          <w:b/>
          <w:w w:val="95"/>
          <w:sz w:val="32"/>
          <w:lang w:val="en-US" w:eastAsia="zh-CN"/>
        </w:rPr>
        <w:t>08</w:t>
      </w:r>
      <w:r>
        <w:rPr>
          <w:rFonts w:hint="eastAsia" w:ascii="华文新魏" w:hAnsi="华文新魏" w:eastAsia="华文新魏"/>
          <w:b/>
          <w:w w:val="95"/>
          <w:sz w:val="32"/>
        </w:rPr>
        <w:t>月</w:t>
      </w:r>
      <w:r>
        <w:rPr>
          <w:rFonts w:hint="eastAsia" w:ascii="华文新魏" w:hAnsi="华文新魏" w:eastAsia="华文新魏"/>
          <w:b/>
          <w:w w:val="95"/>
          <w:sz w:val="32"/>
          <w:lang w:val="en-US" w:eastAsia="zh-CN"/>
        </w:rPr>
        <w:t>05</w:t>
      </w:r>
      <w:r>
        <w:rPr>
          <w:rFonts w:hint="eastAsia" w:ascii="华文新魏" w:hAnsi="华文新魏" w:eastAsia="华文新魏"/>
          <w:b/>
          <w:w w:val="95"/>
          <w:sz w:val="32"/>
        </w:rPr>
        <w:t>日</w:t>
      </w:r>
    </w:p>
    <w:p w14:paraId="2EF215A4">
      <w:pPr>
        <w:pStyle w:val="36"/>
        <w:snapToGrid w:val="0"/>
        <w:spacing w:before="120" w:line="312" w:lineRule="auto"/>
        <w:jc w:val="center"/>
        <w:rPr>
          <w:rFonts w:hint="eastAsia" w:ascii="创艺简标宋" w:hAnsi="宋体" w:eastAsia="创艺简标宋"/>
          <w:sz w:val="44"/>
        </w:rPr>
      </w:pPr>
    </w:p>
    <w:p w14:paraId="101C3FA6">
      <w:pPr>
        <w:pStyle w:val="36"/>
        <w:snapToGrid w:val="0"/>
        <w:spacing w:before="120" w:line="312" w:lineRule="auto"/>
        <w:jc w:val="center"/>
        <w:rPr>
          <w:rFonts w:hint="eastAsia" w:ascii="创艺简标宋" w:hAnsi="宋体" w:eastAsia="创艺简标宋"/>
          <w:sz w:val="44"/>
        </w:rPr>
      </w:pPr>
    </w:p>
    <w:p w14:paraId="7D0BD40F">
      <w:pPr>
        <w:pStyle w:val="36"/>
        <w:snapToGrid w:val="0"/>
        <w:spacing w:before="120" w:line="312" w:lineRule="auto"/>
        <w:jc w:val="center"/>
        <w:rPr>
          <w:rFonts w:hint="eastAsia" w:ascii="创艺简标宋" w:hAnsi="宋体" w:eastAsia="创艺简标宋"/>
          <w:sz w:val="44"/>
        </w:rPr>
      </w:pPr>
      <w:r>
        <w:rPr>
          <w:rFonts w:hint="eastAsia" w:ascii="创艺简标宋" w:hAnsi="宋体" w:eastAsia="创艺简标宋"/>
          <w:sz w:val="44"/>
        </w:rPr>
        <w:t>目    录</w:t>
      </w:r>
    </w:p>
    <w:p w14:paraId="6CF6F2EB">
      <w:pPr>
        <w:pStyle w:val="36"/>
        <w:snapToGrid w:val="0"/>
        <w:spacing w:before="120" w:line="312" w:lineRule="auto"/>
        <w:jc w:val="center"/>
        <w:rPr>
          <w:rFonts w:hint="eastAsia" w:ascii="创艺简标宋" w:hAnsi="宋体" w:eastAsia="创艺简标宋"/>
          <w:sz w:val="44"/>
        </w:rPr>
      </w:pPr>
    </w:p>
    <w:p w14:paraId="31ACBC4C">
      <w:pPr>
        <w:widowControl/>
        <w:numPr>
          <w:ilvl w:val="0"/>
          <w:numId w:val="6"/>
        </w:numPr>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采购公告</w:t>
      </w:r>
    </w:p>
    <w:p w14:paraId="245BEED0">
      <w:pPr>
        <w:widowControl/>
        <w:numPr>
          <w:ilvl w:val="0"/>
          <w:numId w:val="6"/>
        </w:numPr>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招标需求</w:t>
      </w:r>
    </w:p>
    <w:p w14:paraId="02762991">
      <w:pPr>
        <w:widowControl/>
        <w:numPr>
          <w:ilvl w:val="0"/>
          <w:numId w:val="6"/>
        </w:numPr>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投标人须知</w:t>
      </w:r>
    </w:p>
    <w:p w14:paraId="4B2C88E0">
      <w:pPr>
        <w:snapToGrid w:val="0"/>
        <w:spacing w:line="360" w:lineRule="auto"/>
        <w:ind w:left="1440"/>
        <w:rPr>
          <w:rFonts w:hint="eastAsia" w:ascii="宋体" w:hAnsi="宋体" w:eastAsia="宋体" w:cs="宋体"/>
          <w:sz w:val="24"/>
        </w:rPr>
      </w:pPr>
      <w:r>
        <w:rPr>
          <w:rFonts w:hint="eastAsia" w:ascii="宋体" w:hAnsi="宋体" w:eastAsia="宋体" w:cs="宋体"/>
          <w:sz w:val="24"/>
        </w:rPr>
        <w:t>前附表</w:t>
      </w:r>
    </w:p>
    <w:p w14:paraId="43274FFD">
      <w:pPr>
        <w:widowControl/>
        <w:numPr>
          <w:ilvl w:val="1"/>
          <w:numId w:val="7"/>
        </w:numPr>
        <w:tabs>
          <w:tab w:val="left" w:pos="1305"/>
        </w:tabs>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 xml:space="preserve"> 总则</w:t>
      </w:r>
    </w:p>
    <w:p w14:paraId="26F0EA9D">
      <w:pPr>
        <w:widowControl/>
        <w:numPr>
          <w:ilvl w:val="1"/>
          <w:numId w:val="7"/>
        </w:numPr>
        <w:tabs>
          <w:tab w:val="left" w:pos="1305"/>
        </w:tabs>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 xml:space="preserve"> 招标文件</w:t>
      </w:r>
    </w:p>
    <w:p w14:paraId="6C76AFB5">
      <w:pPr>
        <w:widowControl/>
        <w:numPr>
          <w:ilvl w:val="1"/>
          <w:numId w:val="7"/>
        </w:numPr>
        <w:tabs>
          <w:tab w:val="left" w:pos="1305"/>
        </w:tabs>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 xml:space="preserve"> 投标文件编制</w:t>
      </w:r>
    </w:p>
    <w:p w14:paraId="43184811">
      <w:pPr>
        <w:widowControl/>
        <w:numPr>
          <w:ilvl w:val="1"/>
          <w:numId w:val="7"/>
        </w:numPr>
        <w:tabs>
          <w:tab w:val="left" w:pos="1305"/>
        </w:tabs>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 xml:space="preserve"> 开标</w:t>
      </w:r>
    </w:p>
    <w:p w14:paraId="030ADCA8">
      <w:pPr>
        <w:widowControl/>
        <w:numPr>
          <w:ilvl w:val="1"/>
          <w:numId w:val="7"/>
        </w:numPr>
        <w:tabs>
          <w:tab w:val="left" w:pos="1305"/>
        </w:tabs>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 xml:space="preserve"> 评标</w:t>
      </w:r>
    </w:p>
    <w:p w14:paraId="1610446A">
      <w:pPr>
        <w:widowControl/>
        <w:numPr>
          <w:ilvl w:val="1"/>
          <w:numId w:val="7"/>
        </w:numPr>
        <w:tabs>
          <w:tab w:val="left" w:pos="1305"/>
        </w:tabs>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 xml:space="preserve"> 定标</w:t>
      </w:r>
    </w:p>
    <w:p w14:paraId="3562AFA3">
      <w:pPr>
        <w:widowControl/>
        <w:numPr>
          <w:ilvl w:val="1"/>
          <w:numId w:val="7"/>
        </w:numPr>
        <w:tabs>
          <w:tab w:val="left" w:pos="1305"/>
        </w:tabs>
        <w:overflowPunct w:val="0"/>
        <w:autoSpaceDE w:val="0"/>
        <w:autoSpaceDN w:val="0"/>
        <w:adjustRightInd w:val="0"/>
        <w:snapToGrid w:val="0"/>
        <w:spacing w:line="360" w:lineRule="auto"/>
        <w:textAlignment w:val="baseline"/>
        <w:rPr>
          <w:rFonts w:hint="eastAsia" w:ascii="宋体" w:hAnsi="宋体" w:eastAsia="宋体" w:cs="宋体"/>
          <w:sz w:val="24"/>
        </w:rPr>
      </w:pPr>
      <w:r>
        <w:rPr>
          <w:rFonts w:hint="eastAsia" w:ascii="宋体" w:hAnsi="宋体" w:eastAsia="宋体" w:cs="宋体"/>
          <w:sz w:val="24"/>
        </w:rPr>
        <w:t xml:space="preserve"> 合同授予</w:t>
      </w:r>
    </w:p>
    <w:p w14:paraId="01A306AB">
      <w:pPr>
        <w:widowControl/>
        <w:overflowPunct w:val="0"/>
        <w:autoSpaceDE w:val="0"/>
        <w:autoSpaceDN w:val="0"/>
        <w:adjustRightInd w:val="0"/>
        <w:snapToGrid w:val="0"/>
        <w:spacing w:line="360" w:lineRule="auto"/>
        <w:ind w:left="165"/>
        <w:textAlignment w:val="baseline"/>
        <w:rPr>
          <w:rFonts w:hint="eastAsia" w:ascii="宋体" w:hAnsi="宋体" w:eastAsia="宋体" w:cs="宋体"/>
          <w:sz w:val="24"/>
        </w:rPr>
      </w:pPr>
      <w:r>
        <w:rPr>
          <w:rFonts w:hint="eastAsia" w:ascii="宋体" w:hAnsi="宋体" w:eastAsia="宋体" w:cs="宋体"/>
          <w:sz w:val="24"/>
        </w:rPr>
        <w:t xml:space="preserve">第四章    </w:t>
      </w:r>
      <w:r>
        <w:rPr>
          <w:rFonts w:hint="eastAsia" w:ascii="宋体" w:hAnsi="宋体" w:eastAsia="宋体" w:cs="宋体"/>
          <w:sz w:val="24"/>
          <w:lang w:eastAsia="zh-CN"/>
        </w:rPr>
        <w:t>评标方法</w:t>
      </w:r>
      <w:r>
        <w:rPr>
          <w:rFonts w:hint="eastAsia" w:ascii="宋体" w:hAnsi="宋体" w:eastAsia="宋体" w:cs="宋体"/>
          <w:sz w:val="24"/>
        </w:rPr>
        <w:t>及评分标准</w:t>
      </w:r>
    </w:p>
    <w:p w14:paraId="79A86996">
      <w:pPr>
        <w:widowControl/>
        <w:overflowPunct w:val="0"/>
        <w:autoSpaceDE w:val="0"/>
        <w:autoSpaceDN w:val="0"/>
        <w:adjustRightInd w:val="0"/>
        <w:snapToGrid w:val="0"/>
        <w:spacing w:line="360" w:lineRule="auto"/>
        <w:ind w:left="165"/>
        <w:textAlignment w:val="baseline"/>
        <w:rPr>
          <w:rFonts w:hint="eastAsia" w:ascii="宋体" w:hAnsi="宋体" w:eastAsia="宋体" w:cs="宋体"/>
          <w:sz w:val="24"/>
        </w:rPr>
      </w:pPr>
      <w:r>
        <w:rPr>
          <w:rFonts w:hint="eastAsia" w:ascii="宋体" w:hAnsi="宋体" w:eastAsia="宋体" w:cs="宋体"/>
          <w:sz w:val="24"/>
        </w:rPr>
        <w:t>第五章    采购合同主要条款</w:t>
      </w:r>
    </w:p>
    <w:p w14:paraId="2AD2231D">
      <w:pPr>
        <w:widowControl/>
        <w:overflowPunct w:val="0"/>
        <w:autoSpaceDE w:val="0"/>
        <w:autoSpaceDN w:val="0"/>
        <w:adjustRightInd w:val="0"/>
        <w:snapToGrid w:val="0"/>
        <w:spacing w:line="360" w:lineRule="auto"/>
        <w:ind w:left="165"/>
        <w:textAlignment w:val="baseline"/>
        <w:rPr>
          <w:rFonts w:hint="eastAsia" w:ascii="宋体" w:hAnsi="宋体" w:eastAsia="宋体" w:cs="宋体"/>
          <w:sz w:val="24"/>
        </w:rPr>
      </w:pPr>
      <w:r>
        <w:rPr>
          <w:rFonts w:hint="eastAsia" w:ascii="宋体" w:hAnsi="宋体" w:eastAsia="宋体" w:cs="宋体"/>
          <w:sz w:val="24"/>
        </w:rPr>
        <w:t>第六章    投标文件相关格式</w:t>
      </w:r>
    </w:p>
    <w:p w14:paraId="03A4B02D">
      <w:pPr>
        <w:pStyle w:val="36"/>
        <w:snapToGrid w:val="0"/>
        <w:spacing w:before="120" w:line="312" w:lineRule="auto"/>
        <w:ind w:firstLine="2160" w:firstLineChars="900"/>
        <w:outlineLvl w:val="0"/>
        <w:rPr>
          <w:rFonts w:hint="eastAsia" w:hAnsi="宋体"/>
        </w:rPr>
      </w:pPr>
    </w:p>
    <w:p w14:paraId="513E2FE8">
      <w:pPr>
        <w:pStyle w:val="36"/>
        <w:snapToGrid w:val="0"/>
        <w:spacing w:before="120" w:line="312" w:lineRule="auto"/>
        <w:ind w:firstLine="2160" w:firstLineChars="900"/>
        <w:outlineLvl w:val="0"/>
        <w:rPr>
          <w:rFonts w:hint="eastAsia" w:hAnsi="宋体"/>
        </w:rPr>
      </w:pPr>
    </w:p>
    <w:p w14:paraId="1C823134">
      <w:pPr>
        <w:pStyle w:val="36"/>
        <w:snapToGrid w:val="0"/>
        <w:spacing w:before="120" w:line="312" w:lineRule="auto"/>
        <w:ind w:firstLine="2160" w:firstLineChars="900"/>
        <w:outlineLvl w:val="0"/>
        <w:rPr>
          <w:rFonts w:hint="eastAsia" w:hAnsi="宋体"/>
        </w:rPr>
      </w:pPr>
    </w:p>
    <w:p w14:paraId="15710CA9">
      <w:pPr>
        <w:pStyle w:val="36"/>
        <w:snapToGrid w:val="0"/>
        <w:spacing w:before="120" w:line="312" w:lineRule="auto"/>
        <w:ind w:firstLine="2160" w:firstLineChars="900"/>
        <w:outlineLvl w:val="0"/>
        <w:rPr>
          <w:rFonts w:hint="eastAsia" w:hAnsi="宋体"/>
        </w:rPr>
      </w:pPr>
    </w:p>
    <w:p w14:paraId="72DB9676">
      <w:pPr>
        <w:pStyle w:val="36"/>
        <w:snapToGrid w:val="0"/>
        <w:spacing w:before="120" w:line="312" w:lineRule="auto"/>
        <w:ind w:firstLine="2160" w:firstLineChars="900"/>
        <w:outlineLvl w:val="0"/>
        <w:rPr>
          <w:rFonts w:hint="eastAsia" w:hAnsi="宋体"/>
        </w:rPr>
      </w:pPr>
    </w:p>
    <w:p w14:paraId="518179F0">
      <w:pPr>
        <w:pStyle w:val="36"/>
        <w:snapToGrid w:val="0"/>
        <w:spacing w:before="120" w:line="312" w:lineRule="auto"/>
        <w:ind w:firstLine="2160" w:firstLineChars="900"/>
        <w:outlineLvl w:val="0"/>
        <w:rPr>
          <w:rFonts w:hint="eastAsia" w:hAnsi="宋体"/>
        </w:rPr>
      </w:pPr>
    </w:p>
    <w:p w14:paraId="10B4AE3C">
      <w:pPr>
        <w:pStyle w:val="36"/>
        <w:snapToGrid w:val="0"/>
        <w:spacing w:before="120" w:line="312" w:lineRule="auto"/>
        <w:ind w:firstLine="2160" w:firstLineChars="900"/>
        <w:outlineLvl w:val="0"/>
        <w:rPr>
          <w:rFonts w:hint="eastAsia" w:hAnsi="宋体"/>
        </w:rPr>
      </w:pPr>
    </w:p>
    <w:p w14:paraId="72D37552">
      <w:pPr>
        <w:pStyle w:val="36"/>
        <w:snapToGrid w:val="0"/>
        <w:spacing w:before="120" w:line="312" w:lineRule="auto"/>
        <w:outlineLvl w:val="0"/>
        <w:rPr>
          <w:rFonts w:hint="eastAsia" w:ascii="黑体" w:hAnsi="宋体" w:eastAsia="黑体"/>
          <w:sz w:val="30"/>
        </w:rPr>
      </w:pPr>
    </w:p>
    <w:p w14:paraId="0BB627EE">
      <w:pPr>
        <w:pageBreakBefore w:val="0"/>
        <w:kinsoku/>
        <w:wordWrap/>
        <w:overflowPunct/>
        <w:topLinePunct w:val="0"/>
        <w:bidi w:val="0"/>
        <w:snapToGrid w:val="0"/>
        <w:spacing w:before="120" w:line="320" w:lineRule="exact"/>
        <w:jc w:val="center"/>
        <w:outlineLvl w:val="0"/>
        <w:rPr>
          <w:rFonts w:hint="eastAsia" w:ascii="Times New Roman" w:hAnsi="Times New Roman" w:eastAsia="黑体" w:cs="Times New Roman"/>
          <w:sz w:val="30"/>
        </w:rPr>
      </w:pPr>
    </w:p>
    <w:p w14:paraId="54F064C0">
      <w:pPr>
        <w:pageBreakBefore w:val="0"/>
        <w:kinsoku/>
        <w:wordWrap/>
        <w:overflowPunct/>
        <w:topLinePunct w:val="0"/>
        <w:bidi w:val="0"/>
        <w:snapToGrid w:val="0"/>
        <w:spacing w:before="120" w:line="320" w:lineRule="exact"/>
        <w:jc w:val="center"/>
        <w:outlineLvl w:val="0"/>
        <w:rPr>
          <w:rFonts w:ascii="Times New Roman" w:hAnsi="Times New Roman" w:eastAsia="黑体" w:cs="Times New Roman"/>
          <w:sz w:val="30"/>
        </w:rPr>
      </w:pPr>
      <w:r>
        <w:rPr>
          <w:rFonts w:hint="eastAsia" w:ascii="Times New Roman" w:hAnsi="Times New Roman" w:eastAsia="黑体" w:cs="Times New Roman"/>
          <w:sz w:val="30"/>
        </w:rPr>
        <w:t>第一章 公开招标采购公告</w:t>
      </w:r>
    </w:p>
    <w:p w14:paraId="4E0B5614">
      <w:pPr>
        <w:pageBreakBefore w:val="0"/>
        <w:kinsoku/>
        <w:wordWrap/>
        <w:overflowPunct/>
        <w:topLinePunct w:val="0"/>
        <w:bidi w:val="0"/>
        <w:spacing w:line="320" w:lineRule="exact"/>
        <w:rPr>
          <w:rFonts w:ascii="Times New Roman" w:hAnsi="Times New Roman" w:eastAsia="宋体" w:cs="Times New Roman"/>
        </w:rPr>
      </w:pPr>
    </w:p>
    <w:p w14:paraId="79A7D85B">
      <w:pPr>
        <w:pageBreakBefore w:val="0"/>
        <w:kinsoku/>
        <w:wordWrap/>
        <w:overflowPunct/>
        <w:topLinePunct w:val="0"/>
        <w:bidi w:val="0"/>
        <w:spacing w:line="3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rPr>
        <w:t>根据《中华人民</w:t>
      </w:r>
      <w:r>
        <w:rPr>
          <w:rFonts w:hint="eastAsia" w:ascii="Times New Roman" w:hAnsi="Times New Roman" w:eastAsia="宋体" w:cs="Times New Roman"/>
          <w:szCs w:val="21"/>
        </w:rPr>
        <w:t>共和国政府采购法》等规定，受舟山市生态环境局委托，现就</w:t>
      </w:r>
      <w:r>
        <w:rPr>
          <w:rFonts w:hint="eastAsia" w:ascii="Times New Roman" w:hAnsi="Times New Roman" w:eastAsia="宋体" w:cs="Times New Roman"/>
          <w:szCs w:val="21"/>
          <w:lang w:eastAsia="zh-CN"/>
        </w:rPr>
        <w:t>2025年舟山市生态环境监测能力建设项目</w:t>
      </w:r>
      <w:r>
        <w:rPr>
          <w:rFonts w:hint="eastAsia" w:ascii="Times New Roman" w:hAnsi="Times New Roman" w:eastAsia="宋体" w:cs="Times New Roman"/>
          <w:szCs w:val="21"/>
        </w:rPr>
        <w:t>进行公开招标，欢迎符合资质要求并能提供相关服务的供应商参加投标。</w:t>
      </w:r>
    </w:p>
    <w:p w14:paraId="61364126">
      <w:pPr>
        <w:pageBreakBefore w:val="0"/>
        <w:widowControl/>
        <w:kinsoku/>
        <w:wordWrap/>
        <w:overflowPunct/>
        <w:topLinePunct w:val="0"/>
        <w:bidi w:val="0"/>
        <w:spacing w:line="320" w:lineRule="exact"/>
        <w:jc w:val="left"/>
        <w:rPr>
          <w:rFonts w:hint="eastAsia" w:ascii="Times New Roman" w:hAnsi="Times New Roman" w:eastAsia="宋体" w:cs="Times New Roman"/>
          <w:b/>
          <w:bCs/>
          <w:szCs w:val="21"/>
          <w:lang w:eastAsia="zh-CN"/>
        </w:rPr>
      </w:pPr>
      <w:r>
        <w:rPr>
          <w:rFonts w:hint="eastAsia" w:ascii="Times New Roman" w:hAnsi="Times New Roman" w:eastAsia="宋体" w:cs="Times New Roman"/>
          <w:b/>
          <w:bCs/>
          <w:szCs w:val="21"/>
        </w:rPr>
        <w:t>一、项目名称：</w:t>
      </w:r>
      <w:r>
        <w:rPr>
          <w:rFonts w:hint="eastAsia" w:ascii="Times New Roman" w:hAnsi="Times New Roman" w:eastAsia="宋体" w:cs="Times New Roman"/>
          <w:szCs w:val="21"/>
          <w:lang w:eastAsia="zh-CN"/>
        </w:rPr>
        <w:t>2025年舟山市生态环境监测能力建设项目</w:t>
      </w:r>
    </w:p>
    <w:p w14:paraId="006DFA18">
      <w:pPr>
        <w:pageBreakBefore w:val="0"/>
        <w:widowControl/>
        <w:kinsoku/>
        <w:wordWrap/>
        <w:overflowPunct/>
        <w:topLinePunct w:val="0"/>
        <w:bidi w:val="0"/>
        <w:spacing w:line="320" w:lineRule="exact"/>
        <w:jc w:val="left"/>
        <w:rPr>
          <w:rFonts w:hint="eastAsia" w:ascii="Times New Roman" w:hAnsi="Times New Roman" w:eastAsia="宋体" w:cs="Times New Roman"/>
          <w:b/>
          <w:bCs/>
          <w:sz w:val="28"/>
          <w:szCs w:val="28"/>
          <w:lang w:eastAsia="zh-CN"/>
        </w:rPr>
      </w:pPr>
      <w:r>
        <w:rPr>
          <w:rFonts w:hint="eastAsia" w:ascii="Times New Roman" w:hAnsi="Times New Roman" w:eastAsia="宋体" w:cs="Times New Roman"/>
          <w:b/>
          <w:bCs/>
          <w:szCs w:val="21"/>
        </w:rPr>
        <w:t>二、项目编号：</w:t>
      </w:r>
      <w:r>
        <w:rPr>
          <w:rFonts w:hint="eastAsia" w:ascii="Times New Roman" w:hAnsi="Times New Roman" w:eastAsia="宋体" w:cs="Times New Roman"/>
          <w:kern w:val="0"/>
          <w:szCs w:val="21"/>
          <w:shd w:val="clear" w:color="auto" w:fill="FFFFFF"/>
          <w:lang w:eastAsia="zh-CN"/>
        </w:rPr>
        <w:t>SZGXZS2025104</w:t>
      </w:r>
    </w:p>
    <w:p w14:paraId="75CC2B91">
      <w:pPr>
        <w:pageBreakBefore w:val="0"/>
        <w:widowControl/>
        <w:kinsoku/>
        <w:wordWrap/>
        <w:overflowPunct/>
        <w:topLinePunct w:val="0"/>
        <w:bidi w:val="0"/>
        <w:spacing w:line="320" w:lineRule="exact"/>
        <w:rPr>
          <w:rFonts w:ascii="Times New Roman" w:hAnsi="Times New Roman" w:eastAsia="宋体" w:cs="Times New Roman"/>
          <w:kern w:val="0"/>
          <w:szCs w:val="21"/>
          <w:shd w:val="clear" w:color="auto" w:fill="FFFFFF"/>
        </w:rPr>
      </w:pPr>
      <w:r>
        <w:rPr>
          <w:rFonts w:hint="eastAsia" w:ascii="Times New Roman" w:hAnsi="Times New Roman" w:eastAsia="宋体" w:cs="Times New Roman"/>
          <w:b/>
          <w:bCs/>
          <w:kern w:val="0"/>
          <w:szCs w:val="21"/>
        </w:rPr>
        <w:t>三、采购组织类型：</w:t>
      </w:r>
      <w:r>
        <w:rPr>
          <w:rFonts w:hint="eastAsia" w:ascii="Times New Roman" w:hAnsi="Times New Roman" w:eastAsia="宋体" w:cs="Times New Roman"/>
          <w:kern w:val="0"/>
          <w:szCs w:val="21"/>
          <w:shd w:val="clear" w:color="auto" w:fill="FFFFFF"/>
        </w:rPr>
        <w:t>分散采购委托代理</w:t>
      </w:r>
    </w:p>
    <w:p w14:paraId="4D358912">
      <w:pPr>
        <w:pageBreakBefore w:val="0"/>
        <w:widowControl/>
        <w:kinsoku/>
        <w:wordWrap/>
        <w:overflowPunct/>
        <w:topLinePunct w:val="0"/>
        <w:bidi w:val="0"/>
        <w:spacing w:line="320" w:lineRule="exact"/>
        <w:rPr>
          <w:rFonts w:hint="eastAsia" w:eastAsia="宋体"/>
        </w:rPr>
      </w:pPr>
      <w:r>
        <w:rPr>
          <w:rFonts w:hint="eastAsia" w:ascii="Times New Roman" w:hAnsi="Times New Roman" w:eastAsia="宋体" w:cs="Times New Roman"/>
          <w:kern w:val="0"/>
          <w:szCs w:val="21"/>
          <w:shd w:val="clear" w:color="auto" w:fill="FFFFFF"/>
        </w:rPr>
        <w:t>四、</w:t>
      </w:r>
      <w:r>
        <w:rPr>
          <w:rFonts w:hint="eastAsia" w:ascii="Times New Roman" w:hAnsi="Times New Roman" w:eastAsia="宋体" w:cs="Times New Roman"/>
          <w:b/>
          <w:bCs/>
          <w:kern w:val="0"/>
          <w:szCs w:val="21"/>
        </w:rPr>
        <w:t>招标项目概况（内容、用途、数量、简要技术要求等）</w:t>
      </w:r>
      <w:r>
        <w:rPr>
          <w:rFonts w:ascii="Times New Roman" w:hAnsi="Times New Roman" w:eastAsia="宋体" w:cs="Times New Roman"/>
          <w:b/>
          <w:bCs/>
          <w:kern w:val="0"/>
          <w:szCs w:val="21"/>
        </w:rPr>
        <w:t>:</w:t>
      </w:r>
    </w:p>
    <w:tbl>
      <w:tblPr>
        <w:tblStyle w:val="62"/>
        <w:tblW w:w="8810"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870"/>
        <w:gridCol w:w="1870"/>
        <w:gridCol w:w="2170"/>
      </w:tblGrid>
      <w:tr w14:paraId="53E58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0" w:type="dxa"/>
            <w:shd w:val="clear" w:color="auto" w:fill="auto"/>
            <w:vAlign w:val="center"/>
          </w:tcPr>
          <w:p w14:paraId="1C12A721">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序号</w:t>
            </w:r>
          </w:p>
        </w:tc>
        <w:tc>
          <w:tcPr>
            <w:tcW w:w="3870" w:type="dxa"/>
            <w:vAlign w:val="center"/>
          </w:tcPr>
          <w:p w14:paraId="29A46B69">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bCs/>
                <w:color w:val="000000"/>
                <w:sz w:val="21"/>
                <w:szCs w:val="21"/>
                <w:vertAlign w:val="baseline"/>
              </w:rPr>
            </w:pPr>
            <w:r>
              <w:rPr>
                <w:rFonts w:hint="eastAsia" w:ascii="宋体" w:hAnsi="宋体" w:eastAsia="宋体" w:cs="宋体"/>
                <w:sz w:val="21"/>
                <w:szCs w:val="21"/>
              </w:rPr>
              <w:t>仪器名称</w:t>
            </w:r>
          </w:p>
        </w:tc>
        <w:tc>
          <w:tcPr>
            <w:tcW w:w="1870" w:type="dxa"/>
            <w:vAlign w:val="center"/>
          </w:tcPr>
          <w:p w14:paraId="6F859E8C">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数量</w:t>
            </w:r>
          </w:p>
          <w:p w14:paraId="31BD0F3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（台、套）</w:t>
            </w:r>
          </w:p>
        </w:tc>
        <w:tc>
          <w:tcPr>
            <w:tcW w:w="2170" w:type="dxa"/>
            <w:vAlign w:val="center"/>
          </w:tcPr>
          <w:p w14:paraId="6EF69D52">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预算金额</w:t>
            </w:r>
          </w:p>
          <w:p w14:paraId="1B93783E">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（万元）</w:t>
            </w:r>
          </w:p>
        </w:tc>
      </w:tr>
      <w:tr w14:paraId="01DDA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900" w:type="dxa"/>
            <w:shd w:val="clear" w:color="auto" w:fill="auto"/>
            <w:vAlign w:val="center"/>
          </w:tcPr>
          <w:p w14:paraId="79603F61">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w:t>
            </w:r>
          </w:p>
        </w:tc>
        <w:tc>
          <w:tcPr>
            <w:tcW w:w="3870" w:type="dxa"/>
            <w:vAlign w:val="center"/>
          </w:tcPr>
          <w:p w14:paraId="06723FF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盐度计</w:t>
            </w:r>
          </w:p>
        </w:tc>
        <w:tc>
          <w:tcPr>
            <w:tcW w:w="1870" w:type="dxa"/>
            <w:vAlign w:val="center"/>
          </w:tcPr>
          <w:p w14:paraId="42D9C00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restart"/>
            <w:vAlign w:val="center"/>
          </w:tcPr>
          <w:p w14:paraId="029D1B14">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497.90</w:t>
            </w:r>
          </w:p>
        </w:tc>
      </w:tr>
      <w:tr w14:paraId="4A3D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215D1DC4">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3870" w:type="dxa"/>
            <w:vAlign w:val="center"/>
          </w:tcPr>
          <w:p w14:paraId="0D20986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无人机采样模块</w:t>
            </w:r>
          </w:p>
        </w:tc>
        <w:tc>
          <w:tcPr>
            <w:tcW w:w="1870" w:type="dxa"/>
            <w:vAlign w:val="center"/>
          </w:tcPr>
          <w:p w14:paraId="19198B9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continue"/>
            <w:vAlign w:val="center"/>
          </w:tcPr>
          <w:p w14:paraId="5DE38341">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05AE1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3A96EAC3">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3870" w:type="dxa"/>
            <w:vAlign w:val="center"/>
          </w:tcPr>
          <w:p w14:paraId="78D13FC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凯氏定氮仪自动进样仪</w:t>
            </w:r>
          </w:p>
        </w:tc>
        <w:tc>
          <w:tcPr>
            <w:tcW w:w="1870" w:type="dxa"/>
            <w:vAlign w:val="center"/>
          </w:tcPr>
          <w:p w14:paraId="37459F2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continue"/>
            <w:vAlign w:val="center"/>
          </w:tcPr>
          <w:p w14:paraId="5CBC814D">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7A903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5565724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3870" w:type="dxa"/>
            <w:vAlign w:val="center"/>
          </w:tcPr>
          <w:p w14:paraId="08B6685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振荡器</w:t>
            </w:r>
          </w:p>
        </w:tc>
        <w:tc>
          <w:tcPr>
            <w:tcW w:w="1870" w:type="dxa"/>
            <w:vAlign w:val="center"/>
          </w:tcPr>
          <w:p w14:paraId="6924731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continue"/>
            <w:vAlign w:val="center"/>
          </w:tcPr>
          <w:p w14:paraId="03A78D7C">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22AEA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08C66B7E">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3870" w:type="dxa"/>
            <w:vAlign w:val="center"/>
          </w:tcPr>
          <w:p w14:paraId="749268F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多参数水质仪</w:t>
            </w:r>
          </w:p>
        </w:tc>
        <w:tc>
          <w:tcPr>
            <w:tcW w:w="1870" w:type="dxa"/>
            <w:vAlign w:val="center"/>
          </w:tcPr>
          <w:p w14:paraId="31AF834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170" w:type="dxa"/>
            <w:vMerge w:val="continue"/>
            <w:vAlign w:val="center"/>
          </w:tcPr>
          <w:p w14:paraId="7D523F29">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4760F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900" w:type="dxa"/>
            <w:shd w:val="clear" w:color="auto" w:fill="auto"/>
            <w:vAlign w:val="center"/>
          </w:tcPr>
          <w:p w14:paraId="6862CFB1">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3870" w:type="dxa"/>
            <w:shd w:val="clear" w:color="auto" w:fill="auto"/>
            <w:vAlign w:val="center"/>
          </w:tcPr>
          <w:p w14:paraId="6DD5D39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气象参数测定仪</w:t>
            </w:r>
          </w:p>
        </w:tc>
        <w:tc>
          <w:tcPr>
            <w:tcW w:w="1870" w:type="dxa"/>
            <w:vAlign w:val="center"/>
          </w:tcPr>
          <w:p w14:paraId="0F7C4AA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170" w:type="dxa"/>
            <w:vMerge w:val="continue"/>
            <w:vAlign w:val="center"/>
          </w:tcPr>
          <w:p w14:paraId="29C61C1B">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174D6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1827A352">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3870" w:type="dxa"/>
            <w:shd w:val="clear" w:color="auto" w:fill="auto"/>
            <w:vAlign w:val="center"/>
          </w:tcPr>
          <w:p w14:paraId="17975E2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智能多通道颗粒物采样器</w:t>
            </w:r>
          </w:p>
        </w:tc>
        <w:tc>
          <w:tcPr>
            <w:tcW w:w="1870" w:type="dxa"/>
            <w:vAlign w:val="center"/>
          </w:tcPr>
          <w:p w14:paraId="7453618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170" w:type="dxa"/>
            <w:vMerge w:val="continue"/>
            <w:vAlign w:val="center"/>
          </w:tcPr>
          <w:p w14:paraId="0539D1F9">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660B0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6F3A4D84">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3870" w:type="dxa"/>
            <w:shd w:val="clear" w:color="auto" w:fill="auto"/>
            <w:vAlign w:val="center"/>
          </w:tcPr>
          <w:p w14:paraId="249A772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小无人机</w:t>
            </w:r>
          </w:p>
        </w:tc>
        <w:tc>
          <w:tcPr>
            <w:tcW w:w="1870" w:type="dxa"/>
            <w:vAlign w:val="center"/>
          </w:tcPr>
          <w:p w14:paraId="141ADB0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continue"/>
            <w:vAlign w:val="center"/>
          </w:tcPr>
          <w:p w14:paraId="274D9F1E">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7E069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4B3B787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3870" w:type="dxa"/>
            <w:shd w:val="clear" w:color="auto" w:fill="auto"/>
            <w:vAlign w:val="center"/>
          </w:tcPr>
          <w:p w14:paraId="333EB44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热释光测量系统</w:t>
            </w:r>
          </w:p>
        </w:tc>
        <w:tc>
          <w:tcPr>
            <w:tcW w:w="1870" w:type="dxa"/>
            <w:vAlign w:val="center"/>
          </w:tcPr>
          <w:p w14:paraId="6C46FC9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continue"/>
            <w:vAlign w:val="center"/>
          </w:tcPr>
          <w:p w14:paraId="3125ACA9">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3623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0185195D">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3870" w:type="dxa"/>
            <w:shd w:val="clear" w:color="auto" w:fill="auto"/>
            <w:vAlign w:val="center"/>
          </w:tcPr>
          <w:p w14:paraId="361EA27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辐射防护装备</w:t>
            </w:r>
          </w:p>
        </w:tc>
        <w:tc>
          <w:tcPr>
            <w:tcW w:w="1870" w:type="dxa"/>
            <w:vAlign w:val="center"/>
          </w:tcPr>
          <w:p w14:paraId="75B17D1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170" w:type="dxa"/>
            <w:vMerge w:val="continue"/>
            <w:vAlign w:val="center"/>
          </w:tcPr>
          <w:p w14:paraId="7FEFFDD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3DE33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61D76FD6">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3870" w:type="dxa"/>
            <w:shd w:val="clear" w:color="auto" w:fill="auto"/>
            <w:vAlign w:val="center"/>
          </w:tcPr>
          <w:p w14:paraId="1580BC8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离子计</w:t>
            </w:r>
          </w:p>
        </w:tc>
        <w:tc>
          <w:tcPr>
            <w:tcW w:w="1870" w:type="dxa"/>
            <w:vAlign w:val="center"/>
          </w:tcPr>
          <w:p w14:paraId="6EC372D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continue"/>
            <w:vAlign w:val="center"/>
          </w:tcPr>
          <w:p w14:paraId="4F3DCBDA">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2F492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2A5E788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3870" w:type="dxa"/>
            <w:shd w:val="clear" w:color="auto" w:fill="auto"/>
            <w:vAlign w:val="center"/>
          </w:tcPr>
          <w:p w14:paraId="61C1F4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测氡仪</w:t>
            </w:r>
          </w:p>
        </w:tc>
        <w:tc>
          <w:tcPr>
            <w:tcW w:w="1870" w:type="dxa"/>
            <w:vAlign w:val="center"/>
          </w:tcPr>
          <w:p w14:paraId="794CD82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0" w:type="dxa"/>
            <w:vMerge w:val="continue"/>
            <w:vAlign w:val="center"/>
          </w:tcPr>
          <w:p w14:paraId="2FB43E02">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highlight w:val="none"/>
                <w:lang w:val="en-US" w:eastAsia="zh-CN"/>
              </w:rPr>
            </w:pPr>
          </w:p>
        </w:tc>
      </w:tr>
      <w:tr w14:paraId="128E4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33B81182">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3870" w:type="dxa"/>
            <w:shd w:val="clear" w:color="auto" w:fill="auto"/>
            <w:vAlign w:val="center"/>
          </w:tcPr>
          <w:p w14:paraId="1085CFF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手持式寻源仪</w:t>
            </w:r>
          </w:p>
        </w:tc>
        <w:tc>
          <w:tcPr>
            <w:tcW w:w="1870" w:type="dxa"/>
            <w:vAlign w:val="center"/>
          </w:tcPr>
          <w:p w14:paraId="5D1E927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170" w:type="dxa"/>
            <w:vMerge w:val="continue"/>
            <w:vAlign w:val="center"/>
          </w:tcPr>
          <w:p w14:paraId="5294B731">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sz w:val="21"/>
                <w:szCs w:val="21"/>
                <w:lang w:val="en-US" w:eastAsia="zh-CN"/>
              </w:rPr>
            </w:pPr>
          </w:p>
        </w:tc>
      </w:tr>
      <w:tr w14:paraId="344E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1200A6C6">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w:t>
            </w:r>
          </w:p>
        </w:tc>
        <w:tc>
          <w:tcPr>
            <w:tcW w:w="3870" w:type="dxa"/>
            <w:shd w:val="clear" w:color="auto" w:fill="auto"/>
            <w:vAlign w:val="center"/>
          </w:tcPr>
          <w:p w14:paraId="53E334D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高速冷冻离心机</w:t>
            </w:r>
          </w:p>
        </w:tc>
        <w:tc>
          <w:tcPr>
            <w:tcW w:w="1870" w:type="dxa"/>
            <w:vAlign w:val="center"/>
          </w:tcPr>
          <w:p w14:paraId="5D607F3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1FA4F68E">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945B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09EC327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w:t>
            </w:r>
          </w:p>
        </w:tc>
        <w:tc>
          <w:tcPr>
            <w:tcW w:w="3870" w:type="dxa"/>
            <w:shd w:val="clear" w:color="auto" w:fill="auto"/>
            <w:vAlign w:val="center"/>
          </w:tcPr>
          <w:p w14:paraId="5D48918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氮磷检测器</w:t>
            </w:r>
          </w:p>
        </w:tc>
        <w:tc>
          <w:tcPr>
            <w:tcW w:w="1870" w:type="dxa"/>
            <w:vAlign w:val="center"/>
          </w:tcPr>
          <w:p w14:paraId="10122FE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46E66D61">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1335D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79186FF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w:t>
            </w:r>
          </w:p>
        </w:tc>
        <w:tc>
          <w:tcPr>
            <w:tcW w:w="3870" w:type="dxa"/>
            <w:shd w:val="clear" w:color="auto" w:fill="auto"/>
            <w:vAlign w:val="center"/>
          </w:tcPr>
          <w:p w14:paraId="019AF8C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烷基汞蒸馏仪</w:t>
            </w:r>
          </w:p>
        </w:tc>
        <w:tc>
          <w:tcPr>
            <w:tcW w:w="1870" w:type="dxa"/>
            <w:vAlign w:val="center"/>
          </w:tcPr>
          <w:p w14:paraId="4F49CC7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48E62D5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4CD44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5D69C4B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17</w:t>
            </w:r>
          </w:p>
        </w:tc>
        <w:tc>
          <w:tcPr>
            <w:tcW w:w="3870" w:type="dxa"/>
            <w:shd w:val="clear" w:color="auto" w:fill="auto"/>
            <w:vAlign w:val="center"/>
          </w:tcPr>
          <w:p w14:paraId="02FC94B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b/>
                <w:bCs/>
                <w:color w:val="auto"/>
                <w:kern w:val="0"/>
                <w:szCs w:val="21"/>
              </w:rPr>
              <w:t>◆</w:t>
            </w:r>
            <w:r>
              <w:rPr>
                <w:rFonts w:hint="eastAsia" w:ascii="宋体" w:hAnsi="宋体" w:eastAsia="宋体" w:cs="宋体"/>
                <w:color w:val="auto"/>
                <w:sz w:val="21"/>
                <w:szCs w:val="21"/>
                <w:lang w:val="en-US" w:eastAsia="zh-CN"/>
              </w:rPr>
              <w:t>水质监测采样无人船</w:t>
            </w:r>
          </w:p>
        </w:tc>
        <w:tc>
          <w:tcPr>
            <w:tcW w:w="1870" w:type="dxa"/>
            <w:vAlign w:val="center"/>
          </w:tcPr>
          <w:p w14:paraId="5DA700F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30878BBE">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249D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68836B85">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w:t>
            </w:r>
          </w:p>
        </w:tc>
        <w:tc>
          <w:tcPr>
            <w:tcW w:w="3870" w:type="dxa"/>
            <w:shd w:val="clear" w:color="auto" w:fill="auto"/>
            <w:vAlign w:val="center"/>
          </w:tcPr>
          <w:p w14:paraId="342B2A7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气体流量校准器</w:t>
            </w:r>
          </w:p>
        </w:tc>
        <w:tc>
          <w:tcPr>
            <w:tcW w:w="1870" w:type="dxa"/>
            <w:vAlign w:val="center"/>
          </w:tcPr>
          <w:p w14:paraId="34CEB5C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170" w:type="dxa"/>
            <w:vMerge w:val="continue"/>
            <w:vAlign w:val="center"/>
          </w:tcPr>
          <w:p w14:paraId="2F91E90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8088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60DCFFA2">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19</w:t>
            </w:r>
          </w:p>
        </w:tc>
        <w:tc>
          <w:tcPr>
            <w:tcW w:w="3870" w:type="dxa"/>
            <w:shd w:val="clear" w:color="auto" w:fill="auto"/>
            <w:vAlign w:val="center"/>
          </w:tcPr>
          <w:p w14:paraId="2E5833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荧光分光光度计</w:t>
            </w:r>
          </w:p>
        </w:tc>
        <w:tc>
          <w:tcPr>
            <w:tcW w:w="1870" w:type="dxa"/>
            <w:vAlign w:val="center"/>
          </w:tcPr>
          <w:p w14:paraId="695E0D6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3D022EBA">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58F83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34872D6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c>
          <w:tcPr>
            <w:tcW w:w="3870" w:type="dxa"/>
            <w:shd w:val="clear" w:color="auto" w:fill="auto"/>
            <w:vAlign w:val="center"/>
          </w:tcPr>
          <w:p w14:paraId="17829A3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多光谱小型无人机</w:t>
            </w:r>
          </w:p>
        </w:tc>
        <w:tc>
          <w:tcPr>
            <w:tcW w:w="1870" w:type="dxa"/>
            <w:vAlign w:val="center"/>
          </w:tcPr>
          <w:p w14:paraId="068D763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0419573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4683D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0B425076">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p>
        </w:tc>
        <w:tc>
          <w:tcPr>
            <w:tcW w:w="3870" w:type="dxa"/>
            <w:shd w:val="clear" w:color="auto" w:fill="auto"/>
            <w:vAlign w:val="center"/>
          </w:tcPr>
          <w:p w14:paraId="51EE0A0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台式恒温振荡器</w:t>
            </w:r>
          </w:p>
        </w:tc>
        <w:tc>
          <w:tcPr>
            <w:tcW w:w="1870" w:type="dxa"/>
            <w:vAlign w:val="center"/>
          </w:tcPr>
          <w:p w14:paraId="1A344BD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636F19D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10A7A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4212CA2B">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w:t>
            </w:r>
          </w:p>
        </w:tc>
        <w:tc>
          <w:tcPr>
            <w:tcW w:w="3870" w:type="dxa"/>
            <w:vAlign w:val="center"/>
          </w:tcPr>
          <w:p w14:paraId="3ED314A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危化品安全管理智能设备及系统</w:t>
            </w:r>
          </w:p>
        </w:tc>
        <w:tc>
          <w:tcPr>
            <w:tcW w:w="1870" w:type="dxa"/>
            <w:vAlign w:val="center"/>
          </w:tcPr>
          <w:p w14:paraId="6E85B0A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4F845CFC">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22828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7C4B3210">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w:t>
            </w:r>
          </w:p>
        </w:tc>
        <w:tc>
          <w:tcPr>
            <w:tcW w:w="3870" w:type="dxa"/>
            <w:vAlign w:val="center"/>
          </w:tcPr>
          <w:p w14:paraId="72614E0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标准品信息化储存管理系统</w:t>
            </w:r>
          </w:p>
        </w:tc>
        <w:tc>
          <w:tcPr>
            <w:tcW w:w="1870" w:type="dxa"/>
            <w:vAlign w:val="center"/>
          </w:tcPr>
          <w:p w14:paraId="4ABE0F5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170" w:type="dxa"/>
            <w:vMerge w:val="continue"/>
            <w:vAlign w:val="center"/>
          </w:tcPr>
          <w:p w14:paraId="74929C86">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bl>
    <w:p w14:paraId="1A961B67">
      <w:pPr>
        <w:rPr>
          <w:rFonts w:hint="eastAsia" w:eastAsiaTheme="minorEastAsia"/>
          <w:color w:val="auto"/>
          <w:lang w:val="en-US" w:eastAsia="zh-CN"/>
        </w:rPr>
      </w:pPr>
      <w:r>
        <w:rPr>
          <w:rFonts w:hint="eastAsia"/>
          <w:color w:val="auto"/>
          <w:lang w:val="en-US" w:eastAsia="zh-CN"/>
        </w:rPr>
        <w:t xml:space="preserve"> </w:t>
      </w:r>
    </w:p>
    <w:tbl>
      <w:tblPr>
        <w:tblStyle w:val="62"/>
        <w:tblpPr w:leftFromText="180" w:rightFromText="180" w:vertAnchor="text" w:tblpX="10483" w:tblpY="-7719"/>
        <w:tblOverlap w:val="never"/>
        <w:tblW w:w="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tblGrid>
      <w:tr w14:paraId="111AE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718" w:type="dxa"/>
          </w:tcPr>
          <w:p w14:paraId="797A09B6">
            <w:pPr>
              <w:pageBreakBefore w:val="0"/>
              <w:widowControl/>
              <w:kinsoku/>
              <w:wordWrap/>
              <w:overflowPunct/>
              <w:topLinePunct w:val="0"/>
              <w:bidi w:val="0"/>
              <w:spacing w:line="320" w:lineRule="exact"/>
              <w:jc w:val="left"/>
              <w:rPr>
                <w:rFonts w:hint="eastAsia" w:ascii="Times New Roman" w:hAnsi="Times New Roman" w:eastAsia="宋体"/>
                <w:b/>
                <w:bCs/>
                <w:color w:val="auto"/>
                <w:kern w:val="0"/>
                <w:szCs w:val="21"/>
                <w:vertAlign w:val="baseline"/>
              </w:rPr>
            </w:pPr>
          </w:p>
        </w:tc>
      </w:tr>
    </w:tbl>
    <w:p w14:paraId="552FFF05">
      <w:pPr>
        <w:pageBreakBefore w:val="0"/>
        <w:widowControl/>
        <w:kinsoku/>
        <w:wordWrap/>
        <w:overflowPunct/>
        <w:topLinePunct w:val="0"/>
        <w:bidi w:val="0"/>
        <w:spacing w:line="320" w:lineRule="exact"/>
        <w:ind w:firstLine="422" w:firstLineChars="200"/>
        <w:jc w:val="left"/>
        <w:rPr>
          <w:rFonts w:ascii="Times New Roman" w:hAnsi="Times New Roman" w:eastAsia="宋体" w:cs="Times New Roman"/>
          <w:color w:val="auto"/>
          <w:szCs w:val="21"/>
        </w:rPr>
      </w:pPr>
      <w:r>
        <w:rPr>
          <w:rFonts w:hint="eastAsia" w:ascii="Times New Roman" w:hAnsi="Times New Roman" w:eastAsia="宋体"/>
          <w:b/>
          <w:bCs/>
          <w:color w:val="auto"/>
          <w:kern w:val="0"/>
          <w:szCs w:val="21"/>
        </w:rPr>
        <w:t>打“</w:t>
      </w:r>
      <w:r>
        <w:rPr>
          <w:rFonts w:hint="eastAsia" w:ascii="宋体" w:hAnsi="宋体" w:eastAsia="宋体"/>
          <w:b/>
          <w:bCs/>
          <w:color w:val="auto"/>
          <w:kern w:val="0"/>
          <w:szCs w:val="21"/>
        </w:rPr>
        <w:t>◆</w:t>
      </w:r>
      <w:r>
        <w:rPr>
          <w:rFonts w:hint="eastAsia" w:ascii="Times New Roman" w:hAnsi="Times New Roman" w:eastAsia="宋体"/>
          <w:b/>
          <w:bCs/>
          <w:color w:val="auto"/>
          <w:kern w:val="0"/>
          <w:szCs w:val="21"/>
        </w:rPr>
        <w:t>“为核心产品</w:t>
      </w:r>
    </w:p>
    <w:p w14:paraId="013988A3">
      <w:pPr>
        <w:keepNext w:val="0"/>
        <w:keepLines w:val="0"/>
        <w:pageBreakBefore w:val="0"/>
        <w:widowControl/>
        <w:kinsoku/>
        <w:wordWrap/>
        <w:overflowPunct/>
        <w:topLinePunct w:val="0"/>
        <w:autoSpaceDE/>
        <w:autoSpaceDN/>
        <w:bidi w:val="0"/>
        <w:adjustRightInd/>
        <w:spacing w:line="360" w:lineRule="auto"/>
        <w:textAlignment w:val="auto"/>
        <w:rPr>
          <w:rFonts w:hint="eastAsia" w:ascii="Times New Roman" w:hAnsi="Times New Roman" w:eastAsia="宋体" w:cs="Times New Roman"/>
          <w:b/>
          <w:bCs/>
          <w:color w:val="auto"/>
          <w:kern w:val="0"/>
          <w:szCs w:val="21"/>
        </w:rPr>
      </w:pPr>
    </w:p>
    <w:p w14:paraId="6FBF8C41">
      <w:pPr>
        <w:keepNext w:val="0"/>
        <w:keepLines w:val="0"/>
        <w:pageBreakBefore w:val="0"/>
        <w:widowControl/>
        <w:kinsoku/>
        <w:wordWrap/>
        <w:overflowPunct/>
        <w:topLinePunct w:val="0"/>
        <w:autoSpaceDE/>
        <w:autoSpaceDN/>
        <w:bidi w:val="0"/>
        <w:adjustRightInd/>
        <w:spacing w:line="360" w:lineRule="auto"/>
        <w:textAlignment w:val="auto"/>
        <w:rPr>
          <w:rFonts w:ascii="Times New Roman" w:hAnsi="Times New Roman" w:eastAsia="宋体" w:cs="Times New Roman"/>
          <w:color w:val="auto"/>
          <w:kern w:val="0"/>
          <w:szCs w:val="21"/>
        </w:rPr>
      </w:pPr>
      <w:r>
        <w:rPr>
          <w:rFonts w:hint="eastAsia" w:ascii="Times New Roman" w:hAnsi="Times New Roman" w:eastAsia="宋体" w:cs="Times New Roman"/>
          <w:b/>
          <w:bCs/>
          <w:color w:val="auto"/>
          <w:kern w:val="0"/>
          <w:szCs w:val="21"/>
        </w:rPr>
        <w:t>五、投标供应商资格要求</w:t>
      </w:r>
      <w:r>
        <w:rPr>
          <w:rFonts w:ascii="Times New Roman" w:hAnsi="Times New Roman" w:eastAsia="宋体" w:cs="Times New Roman"/>
          <w:b/>
          <w:bCs/>
          <w:color w:val="auto"/>
          <w:kern w:val="0"/>
          <w:szCs w:val="21"/>
        </w:rPr>
        <w:t>:</w:t>
      </w:r>
    </w:p>
    <w:p w14:paraId="54836F78">
      <w:pPr>
        <w:keepNext w:val="0"/>
        <w:keepLines w:val="0"/>
        <w:pageBreakBefore w:val="0"/>
        <w:widowControl/>
        <w:shd w:val="clear" w:color="auto" w:fill="FFFFFF"/>
        <w:kinsoku/>
        <w:wordWrap/>
        <w:overflowPunct/>
        <w:topLinePunct w:val="0"/>
        <w:autoSpaceDE/>
        <w:autoSpaceDN/>
        <w:bidi w:val="0"/>
        <w:adjustRightInd/>
        <w:spacing w:line="360" w:lineRule="auto"/>
        <w:ind w:firstLine="420" w:firstLineChars="200"/>
        <w:jc w:val="left"/>
        <w:textAlignment w:val="auto"/>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1.</w:t>
      </w:r>
      <w:r>
        <w:rPr>
          <w:rFonts w:hint="eastAsia" w:ascii="宋体" w:hAnsi="宋体" w:eastAsia="宋体" w:cs="宋体"/>
          <w:color w:val="auto"/>
          <w:kern w:val="0"/>
          <w:szCs w:val="21"/>
        </w:rPr>
        <w:t>①</w:t>
      </w:r>
      <w:r>
        <w:rPr>
          <w:rFonts w:hint="eastAsia" w:ascii="Times New Roman" w:hAnsi="Times New Roman" w:eastAsia="宋体" w:cs="Times New Roman"/>
          <w:color w:val="auto"/>
          <w:kern w:val="0"/>
          <w:szCs w:val="21"/>
        </w:rPr>
        <w:t>具有独立承担民事责任的能力；</w:t>
      </w:r>
      <w:r>
        <w:rPr>
          <w:rFonts w:hint="eastAsia" w:ascii="宋体" w:hAnsi="宋体" w:eastAsia="宋体" w:cs="宋体"/>
          <w:color w:val="auto"/>
          <w:kern w:val="0"/>
          <w:szCs w:val="21"/>
        </w:rPr>
        <w:t>②</w:t>
      </w:r>
      <w:r>
        <w:rPr>
          <w:rFonts w:hint="eastAsia" w:ascii="Times New Roman" w:hAnsi="Times New Roman" w:eastAsia="宋体" w:cs="Times New Roman"/>
          <w:color w:val="auto"/>
          <w:kern w:val="0"/>
          <w:szCs w:val="21"/>
        </w:rPr>
        <w:t>具有良好的商业信誉和健全的财务会计制度；</w:t>
      </w:r>
      <w:r>
        <w:rPr>
          <w:rFonts w:hint="eastAsia" w:ascii="宋体" w:hAnsi="宋体" w:eastAsia="宋体" w:cs="宋体"/>
          <w:color w:val="auto"/>
          <w:kern w:val="0"/>
          <w:szCs w:val="21"/>
        </w:rPr>
        <w:t>③</w:t>
      </w:r>
      <w:r>
        <w:rPr>
          <w:rFonts w:hint="eastAsia" w:ascii="Times New Roman" w:hAnsi="Times New Roman" w:eastAsia="宋体" w:cs="Times New Roman"/>
          <w:color w:val="auto"/>
          <w:kern w:val="0"/>
          <w:szCs w:val="21"/>
        </w:rPr>
        <w:t>具有履行合同所必需的设备和专业技术能力；</w:t>
      </w:r>
      <w:r>
        <w:rPr>
          <w:rFonts w:hint="eastAsia" w:ascii="宋体" w:hAnsi="宋体" w:eastAsia="宋体" w:cs="宋体"/>
          <w:color w:val="auto"/>
          <w:kern w:val="0"/>
          <w:szCs w:val="21"/>
        </w:rPr>
        <w:t>④</w:t>
      </w:r>
      <w:r>
        <w:rPr>
          <w:rFonts w:hint="eastAsia" w:ascii="Times New Roman" w:hAnsi="Times New Roman" w:eastAsia="宋体" w:cs="Times New Roman"/>
          <w:color w:val="auto"/>
          <w:kern w:val="0"/>
          <w:szCs w:val="21"/>
        </w:rPr>
        <w:t>参加政府采购活动前三年内，无依法缴纳税收和社会保障资金的不良记录；</w:t>
      </w:r>
      <w:r>
        <w:rPr>
          <w:rFonts w:hint="eastAsia" w:ascii="宋体" w:hAnsi="宋体" w:eastAsia="宋体" w:cs="宋体"/>
          <w:color w:val="auto"/>
          <w:kern w:val="0"/>
          <w:szCs w:val="21"/>
        </w:rPr>
        <w:t>⑤</w:t>
      </w:r>
      <w:r>
        <w:rPr>
          <w:rFonts w:hint="eastAsia" w:ascii="Times New Roman" w:hAnsi="Times New Roman" w:eastAsia="宋体" w:cs="Times New Roman"/>
          <w:color w:val="auto"/>
          <w:kern w:val="0"/>
          <w:szCs w:val="21"/>
        </w:rPr>
        <w:t>参加政府采购活动前三年内，在经营活动中没有重大违法记录；</w:t>
      </w:r>
      <w:r>
        <w:rPr>
          <w:rFonts w:hint="eastAsia" w:ascii="宋体" w:hAnsi="宋体" w:eastAsia="宋体" w:cs="宋体"/>
          <w:color w:val="auto"/>
          <w:kern w:val="0"/>
          <w:szCs w:val="21"/>
        </w:rPr>
        <w:t>⑥</w:t>
      </w:r>
      <w:r>
        <w:rPr>
          <w:rFonts w:hint="eastAsia" w:ascii="Times New Roman" w:hAnsi="Times New Roman" w:eastAsia="宋体" w:cs="Times New Roman"/>
          <w:color w:val="auto"/>
          <w:kern w:val="0"/>
          <w:szCs w:val="21"/>
        </w:rPr>
        <w:t>法律、行政法规规定的其他条件。</w:t>
      </w:r>
    </w:p>
    <w:p w14:paraId="0F626DE6">
      <w:pPr>
        <w:keepNext w:val="0"/>
        <w:keepLines w:val="0"/>
        <w:pageBreakBefore w:val="0"/>
        <w:widowControl/>
        <w:shd w:val="clear" w:color="auto" w:fill="FFFFFF"/>
        <w:kinsoku/>
        <w:wordWrap/>
        <w:overflowPunct/>
        <w:topLinePunct w:val="0"/>
        <w:autoSpaceDE/>
        <w:autoSpaceDN/>
        <w:bidi w:val="0"/>
        <w:adjustRightInd/>
        <w:spacing w:line="360" w:lineRule="auto"/>
        <w:ind w:firstLine="420" w:firstLineChars="200"/>
        <w:jc w:val="left"/>
        <w:textAlignment w:val="auto"/>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2.</w:t>
      </w:r>
      <w:r>
        <w:rPr>
          <w:rFonts w:hint="eastAsia" w:ascii="Times New Roman" w:hAnsi="Times New Roman" w:eastAsia="宋体" w:cs="Times New Roman"/>
          <w:color w:val="auto"/>
          <w:kern w:val="0"/>
          <w:szCs w:val="21"/>
        </w:rPr>
        <w:t>未被</w:t>
      </w:r>
      <w:r>
        <w:rPr>
          <w:rFonts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rPr>
        <w:t>信用中国</w:t>
      </w:r>
      <w:r>
        <w:rPr>
          <w:rFonts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rPr>
        <w:t>（</w:t>
      </w:r>
      <w:r>
        <w:rPr>
          <w:rFonts w:ascii="Times New Roman" w:hAnsi="Times New Roman" w:eastAsia="宋体" w:cs="Times New Roman"/>
          <w:color w:val="auto"/>
          <w:kern w:val="0"/>
          <w:szCs w:val="21"/>
        </w:rPr>
        <w:t>www.creditchina.gov.cn</w:t>
      </w:r>
      <w:r>
        <w:rPr>
          <w:rFonts w:hint="eastAsia" w:ascii="Times New Roman" w:hAnsi="Times New Roman" w:eastAsia="宋体" w:cs="Times New Roman"/>
          <w:color w:val="auto"/>
          <w:kern w:val="0"/>
          <w:szCs w:val="21"/>
        </w:rPr>
        <w:t>）、中国政府采购网（</w:t>
      </w:r>
      <w:r>
        <w:rPr>
          <w:rFonts w:ascii="Times New Roman" w:hAnsi="Times New Roman" w:eastAsia="宋体" w:cs="Times New Roman"/>
          <w:color w:val="auto"/>
          <w:kern w:val="0"/>
          <w:szCs w:val="21"/>
        </w:rPr>
        <w:t>www.ccgp.gov.cn</w:t>
      </w:r>
      <w:r>
        <w:rPr>
          <w:rFonts w:hint="eastAsia" w:ascii="Times New Roman" w:hAnsi="Times New Roman" w:eastAsia="宋体" w:cs="Times New Roman"/>
          <w:color w:val="auto"/>
          <w:kern w:val="0"/>
          <w:szCs w:val="21"/>
        </w:rPr>
        <w:t>）列入失信被执行人、重大税收违法案件当事人名单、政府采购严重违法失信行为记录名单。</w:t>
      </w:r>
    </w:p>
    <w:p w14:paraId="7E680688">
      <w:pPr>
        <w:keepNext w:val="0"/>
        <w:keepLines w:val="0"/>
        <w:pageBreakBefore w:val="0"/>
        <w:widowControl/>
        <w:shd w:val="clear" w:color="auto" w:fill="FFFFFF"/>
        <w:kinsoku/>
        <w:wordWrap/>
        <w:overflowPunct/>
        <w:topLinePunct w:val="0"/>
        <w:autoSpaceDE/>
        <w:autoSpaceDN/>
        <w:bidi w:val="0"/>
        <w:adjustRightInd/>
        <w:spacing w:line="360" w:lineRule="auto"/>
        <w:ind w:firstLine="420" w:firstLineChars="200"/>
        <w:jc w:val="left"/>
        <w:textAlignment w:val="auto"/>
        <w:rPr>
          <w:rFonts w:ascii="Times New Roman" w:hAnsi="Times New Roman" w:eastAsia="宋体" w:cs="Times New Roman"/>
          <w:b/>
          <w:bCs/>
          <w:color w:val="auto"/>
          <w:kern w:val="0"/>
          <w:szCs w:val="21"/>
        </w:rPr>
      </w:pPr>
      <w:r>
        <w:rPr>
          <w:rFonts w:hint="eastAsia" w:ascii="Times New Roman" w:hAnsi="Times New Roman" w:eastAsia="宋体" w:cs="Times New Roman"/>
          <w:color w:val="auto"/>
          <w:kern w:val="0"/>
          <w:szCs w:val="21"/>
        </w:rPr>
        <w:t>3.本项目不专门面向中小企业，预留采购项目预算总额的40%以上专门面向中小企业采购，其中预留给小微企业的比例不低于70%。本项目对应的中小企业划分标准所属行业：</w:t>
      </w:r>
      <w:r>
        <w:rPr>
          <w:rFonts w:hint="eastAsia" w:ascii="Times New Roman" w:hAnsi="Times New Roman" w:eastAsia="宋体" w:cs="Times New Roman"/>
          <w:b/>
          <w:bCs/>
          <w:color w:val="auto"/>
          <w:kern w:val="0"/>
          <w:szCs w:val="21"/>
        </w:rPr>
        <w:t>工业。(中小企业划型标准:《工信部联企业[2011]300号》)</w:t>
      </w:r>
    </w:p>
    <w:p w14:paraId="07285CE1">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b/>
          <w:bCs/>
          <w:color w:val="auto"/>
          <w:kern w:val="0"/>
          <w:szCs w:val="21"/>
        </w:rPr>
        <w:t>六、</w:t>
      </w:r>
      <w:r>
        <w:rPr>
          <w:rFonts w:hint="eastAsia" w:ascii="Times New Roman" w:hAnsi="Times New Roman" w:eastAsia="宋体" w:cs="Times New Roman"/>
          <w:b/>
          <w:color w:val="auto"/>
          <w:kern w:val="0"/>
          <w:szCs w:val="21"/>
        </w:rPr>
        <w:t>公告期限：</w:t>
      </w:r>
      <w:r>
        <w:rPr>
          <w:rFonts w:hint="eastAsia" w:ascii="Times New Roman" w:hAnsi="Times New Roman" w:eastAsia="宋体" w:cs="Times New Roman"/>
          <w:b/>
          <w:color w:val="auto"/>
          <w:kern w:val="0"/>
          <w:szCs w:val="21"/>
          <w:u w:val="single"/>
        </w:rPr>
        <w:t>自公告发布之日起</w:t>
      </w:r>
      <w:r>
        <w:rPr>
          <w:rFonts w:ascii="Times New Roman" w:hAnsi="Times New Roman" w:eastAsia="宋体" w:cs="Times New Roman"/>
          <w:b/>
          <w:color w:val="auto"/>
          <w:kern w:val="0"/>
          <w:szCs w:val="21"/>
          <w:u w:val="single"/>
        </w:rPr>
        <w:t>5</w:t>
      </w:r>
      <w:r>
        <w:rPr>
          <w:rFonts w:hint="eastAsia" w:ascii="Times New Roman" w:hAnsi="Times New Roman" w:eastAsia="宋体" w:cs="Times New Roman"/>
          <w:b/>
          <w:color w:val="auto"/>
          <w:kern w:val="0"/>
          <w:szCs w:val="21"/>
          <w:u w:val="single"/>
        </w:rPr>
        <w:t>个工作日</w:t>
      </w:r>
    </w:p>
    <w:p w14:paraId="12461441">
      <w:pPr>
        <w:keepNext w:val="0"/>
        <w:keepLines w:val="0"/>
        <w:pageBreakBefore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color w:val="auto"/>
          <w:szCs w:val="21"/>
        </w:rPr>
      </w:pPr>
      <w:r>
        <w:rPr>
          <w:rFonts w:hint="eastAsia" w:ascii="Times New Roman" w:hAnsi="Times New Roman" w:eastAsia="宋体" w:cs="Times New Roman"/>
          <w:b/>
          <w:bCs/>
          <w:color w:val="auto"/>
          <w:szCs w:val="21"/>
        </w:rPr>
        <w:t>七、注册及采购文件的获取</w:t>
      </w:r>
      <w:r>
        <w:rPr>
          <w:rFonts w:hint="eastAsia" w:ascii="Times New Roman" w:hAnsi="Times New Roman" w:eastAsia="宋体" w:cs="Times New Roman"/>
          <w:color w:val="auto"/>
          <w:szCs w:val="21"/>
        </w:rPr>
        <w:t>：</w:t>
      </w:r>
    </w:p>
    <w:p w14:paraId="426D3592">
      <w:pPr>
        <w:keepNext w:val="0"/>
        <w:keepLines w:val="0"/>
        <w:pageBreakBefore w:val="0"/>
        <w:widowControl/>
        <w:shd w:val="clear" w:color="auto" w:fill="FFFFFF"/>
        <w:kinsoku/>
        <w:wordWrap/>
        <w:overflowPunct/>
        <w:topLinePunct w:val="0"/>
        <w:autoSpaceDE/>
        <w:autoSpaceDN/>
        <w:bidi w:val="0"/>
        <w:adjustRightInd/>
        <w:spacing w:line="360" w:lineRule="auto"/>
        <w:ind w:firstLine="417" w:firstLineChars="198"/>
        <w:jc w:val="left"/>
        <w:textAlignment w:val="auto"/>
        <w:rPr>
          <w:rFonts w:ascii="Times New Roman" w:hAnsi="Times New Roman" w:eastAsia="宋体" w:cs="Times New Roman"/>
          <w:b/>
          <w:bCs/>
          <w:color w:val="auto"/>
          <w:kern w:val="0"/>
          <w:szCs w:val="21"/>
          <w:shd w:val="clear" w:color="auto" w:fill="FFFFFF"/>
        </w:rPr>
      </w:pPr>
      <w:r>
        <w:rPr>
          <w:rFonts w:ascii="Times New Roman" w:hAnsi="Times New Roman" w:eastAsia="宋体" w:cs="Times New Roman"/>
          <w:b/>
          <w:bCs/>
          <w:color w:val="auto"/>
          <w:kern w:val="0"/>
          <w:szCs w:val="21"/>
          <w:shd w:val="clear" w:color="auto" w:fill="FFFFFF"/>
        </w:rPr>
        <w:t>1.</w:t>
      </w:r>
      <w:r>
        <w:rPr>
          <w:rFonts w:hint="eastAsia" w:ascii="Times New Roman" w:hAnsi="Times New Roman" w:eastAsia="宋体" w:cs="Times New Roman"/>
          <w:b/>
          <w:bCs/>
          <w:color w:val="auto"/>
          <w:kern w:val="0"/>
          <w:szCs w:val="21"/>
          <w:shd w:val="clear" w:color="auto" w:fill="FFFFFF"/>
        </w:rPr>
        <w:t>本项目只实行网上获取采购文件。</w:t>
      </w:r>
    </w:p>
    <w:p w14:paraId="682DEF94">
      <w:pPr>
        <w:keepNext w:val="0"/>
        <w:keepLines w:val="0"/>
        <w:pageBreakBefore w:val="0"/>
        <w:widowControl/>
        <w:shd w:val="clear" w:color="auto" w:fill="FFFFFF"/>
        <w:kinsoku/>
        <w:wordWrap/>
        <w:overflowPunct/>
        <w:topLinePunct w:val="0"/>
        <w:autoSpaceDE/>
        <w:autoSpaceDN/>
        <w:bidi w:val="0"/>
        <w:adjustRightInd/>
        <w:spacing w:line="360" w:lineRule="auto"/>
        <w:ind w:firstLine="417" w:firstLineChars="198"/>
        <w:jc w:val="left"/>
        <w:textAlignment w:val="auto"/>
        <w:rPr>
          <w:rFonts w:ascii="Times New Roman" w:hAnsi="Times New Roman" w:eastAsia="宋体" w:cs="Times New Roman"/>
          <w:b/>
          <w:bCs/>
          <w:color w:val="auto"/>
          <w:kern w:val="0"/>
          <w:szCs w:val="21"/>
          <w:shd w:val="clear" w:color="auto" w:fill="FFFFFF"/>
        </w:rPr>
      </w:pPr>
      <w:r>
        <w:rPr>
          <w:rFonts w:ascii="Times New Roman" w:hAnsi="Times New Roman" w:eastAsia="宋体" w:cs="Times New Roman"/>
          <w:b/>
          <w:bCs/>
          <w:color w:val="auto"/>
          <w:kern w:val="0"/>
          <w:szCs w:val="21"/>
          <w:shd w:val="clear" w:color="auto" w:fill="FFFFFF"/>
        </w:rPr>
        <w:t>2.</w:t>
      </w:r>
      <w:r>
        <w:rPr>
          <w:rFonts w:hint="eastAsia" w:ascii="Times New Roman" w:hAnsi="Times New Roman" w:eastAsia="宋体" w:cs="Times New Roman"/>
          <w:b/>
          <w:bCs/>
          <w:color w:val="auto"/>
          <w:kern w:val="0"/>
          <w:szCs w:val="21"/>
          <w:shd w:val="clear" w:color="auto" w:fill="FFFFFF"/>
        </w:rPr>
        <w:t>获取采购文件网址</w:t>
      </w:r>
      <w:r>
        <w:rPr>
          <w:rFonts w:hint="eastAsia" w:ascii="Times New Roman" w:hAnsi="Times New Roman" w:eastAsia="宋体" w:cs="Times New Roman"/>
          <w:color w:val="auto"/>
          <w:kern w:val="0"/>
          <w:szCs w:val="21"/>
          <w:shd w:val="clear" w:color="auto" w:fill="FFFFFF"/>
        </w:rPr>
        <w:t>：浙江政府采购网</w:t>
      </w:r>
      <w:r>
        <w:rPr>
          <w:color w:val="auto"/>
        </w:rPr>
        <w:fldChar w:fldCharType="begin"/>
      </w:r>
      <w:r>
        <w:rPr>
          <w:color w:val="auto"/>
        </w:rPr>
        <w:instrText xml:space="preserve"> HYPERLINK "http://www.zjzfcg.gov.cn" </w:instrText>
      </w:r>
      <w:r>
        <w:rPr>
          <w:color w:val="auto"/>
        </w:rPr>
        <w:fldChar w:fldCharType="separate"/>
      </w:r>
      <w:r>
        <w:rPr>
          <w:rFonts w:ascii="Times New Roman" w:hAnsi="Times New Roman" w:eastAsia="宋体" w:cs="Times New Roman"/>
          <w:color w:val="auto"/>
          <w:kern w:val="0"/>
          <w:szCs w:val="21"/>
          <w:u w:val="single"/>
          <w:shd w:val="clear" w:color="auto" w:fill="FFFFFF"/>
        </w:rPr>
        <w:t>www.zjzfcg.gov.cn</w:t>
      </w:r>
      <w:r>
        <w:rPr>
          <w:rFonts w:ascii="Times New Roman" w:hAnsi="Times New Roman" w:eastAsia="宋体" w:cs="Times New Roman"/>
          <w:color w:val="auto"/>
          <w:kern w:val="0"/>
          <w:szCs w:val="21"/>
          <w:u w:val="single"/>
          <w:shd w:val="clear" w:color="auto" w:fill="FFFFFF"/>
        </w:rPr>
        <w:fldChar w:fldCharType="end"/>
      </w:r>
      <w:r>
        <w:rPr>
          <w:rFonts w:hint="eastAsia" w:ascii="Times New Roman" w:hAnsi="Times New Roman" w:eastAsia="宋体" w:cs="Times New Roman"/>
          <w:color w:val="auto"/>
          <w:kern w:val="0"/>
          <w:szCs w:val="21"/>
          <w:shd w:val="clear" w:color="auto" w:fill="FFFFFF"/>
        </w:rPr>
        <w:t>（用</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政采云</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注册账号、密码登录系统后获取采购文件）</w:t>
      </w:r>
    </w:p>
    <w:p w14:paraId="7C9357F4">
      <w:pPr>
        <w:keepNext w:val="0"/>
        <w:keepLines w:val="0"/>
        <w:pageBreakBefore w:val="0"/>
        <w:widowControl/>
        <w:shd w:val="clear" w:color="auto" w:fill="FFFFFF"/>
        <w:kinsoku/>
        <w:wordWrap/>
        <w:overflowPunct/>
        <w:topLinePunct w:val="0"/>
        <w:autoSpaceDE/>
        <w:autoSpaceDN/>
        <w:bidi w:val="0"/>
        <w:adjustRightInd/>
        <w:spacing w:line="360" w:lineRule="auto"/>
        <w:ind w:left="416" w:leftChars="198"/>
        <w:jc w:val="left"/>
        <w:textAlignment w:val="auto"/>
        <w:rPr>
          <w:rFonts w:ascii="Times New Roman" w:hAnsi="Times New Roman" w:eastAsia="宋体" w:cs="Times New Roman"/>
          <w:b/>
          <w:bCs/>
          <w:color w:val="auto"/>
          <w:kern w:val="0"/>
          <w:szCs w:val="21"/>
          <w:shd w:val="clear" w:color="auto" w:fill="FFFFFF"/>
        </w:rPr>
      </w:pPr>
      <w:r>
        <w:rPr>
          <w:rFonts w:ascii="Times New Roman" w:hAnsi="Times New Roman" w:eastAsia="宋体" w:cs="Times New Roman"/>
          <w:b/>
          <w:bCs/>
          <w:color w:val="auto"/>
          <w:kern w:val="0"/>
          <w:szCs w:val="21"/>
          <w:shd w:val="clear" w:color="auto" w:fill="FFFFFF"/>
        </w:rPr>
        <w:t>3.</w:t>
      </w:r>
      <w:r>
        <w:rPr>
          <w:rFonts w:hint="eastAsia" w:ascii="Times New Roman" w:hAnsi="Times New Roman" w:eastAsia="宋体" w:cs="Times New Roman"/>
          <w:b/>
          <w:bCs/>
          <w:color w:val="auto"/>
          <w:kern w:val="0"/>
          <w:szCs w:val="21"/>
          <w:shd w:val="clear" w:color="auto" w:fill="FFFFFF"/>
        </w:rPr>
        <w:t>免费注册网址：浙江政府采购网（供应商注册页面）：</w:t>
      </w:r>
    </w:p>
    <w:p w14:paraId="5D285A63">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ascii="Times New Roman" w:hAnsi="Times New Roman" w:eastAsia="宋体" w:cs="Times New Roman"/>
          <w:color w:val="auto"/>
          <w:kern w:val="0"/>
          <w:szCs w:val="21"/>
          <w:shd w:val="clear" w:color="auto" w:fill="FFFFFF"/>
        </w:rPr>
      </w:pPr>
      <w:r>
        <w:rPr>
          <w:rFonts w:ascii="Times New Roman" w:hAnsi="Times New Roman" w:eastAsia="宋体" w:cs="Times New Roman"/>
          <w:color w:val="auto"/>
          <w:kern w:val="0"/>
          <w:szCs w:val="21"/>
          <w:u w:val="single"/>
          <w:shd w:val="clear" w:color="auto" w:fill="FFFFFF"/>
        </w:rPr>
        <w:t>https://middle.zcygov.cn/settle-front/#/registry</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政采云</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，咨询电话：</w:t>
      </w:r>
      <w:r>
        <w:rPr>
          <w:rFonts w:ascii="Times New Roman" w:hAnsi="Times New Roman" w:eastAsia="宋体" w:cs="Times New Roman"/>
          <w:color w:val="auto"/>
          <w:kern w:val="0"/>
          <w:szCs w:val="21"/>
          <w:shd w:val="clear" w:color="auto" w:fill="FFFFFF"/>
        </w:rPr>
        <w:t>95763</w:t>
      </w:r>
      <w:r>
        <w:rPr>
          <w:rFonts w:hint="eastAsia" w:ascii="Times New Roman" w:hAnsi="Times New Roman" w:eastAsia="宋体" w:cs="Times New Roman"/>
          <w:color w:val="auto"/>
          <w:kern w:val="0"/>
          <w:szCs w:val="21"/>
          <w:shd w:val="clear" w:color="auto" w:fill="FFFFFF"/>
        </w:rPr>
        <w:t>。已经注册成功的供应商无需重复注册。</w:t>
      </w:r>
    </w:p>
    <w:p w14:paraId="2F5E26BA">
      <w:pPr>
        <w:keepNext w:val="0"/>
        <w:keepLines w:val="0"/>
        <w:pageBreakBefore w:val="0"/>
        <w:widowControl/>
        <w:shd w:val="clear" w:color="auto" w:fill="FFFFFF"/>
        <w:kinsoku/>
        <w:wordWrap/>
        <w:overflowPunct/>
        <w:topLinePunct w:val="0"/>
        <w:autoSpaceDE/>
        <w:autoSpaceDN/>
        <w:bidi w:val="0"/>
        <w:adjustRightInd/>
        <w:spacing w:line="360" w:lineRule="auto"/>
        <w:ind w:firstLine="422" w:firstLineChars="200"/>
        <w:jc w:val="left"/>
        <w:textAlignment w:val="auto"/>
        <w:rPr>
          <w:rFonts w:ascii="Times New Roman" w:hAnsi="Times New Roman" w:eastAsia="宋体" w:cs="Times New Roman"/>
          <w:color w:val="auto"/>
          <w:kern w:val="0"/>
          <w:szCs w:val="21"/>
          <w:shd w:val="clear" w:color="auto" w:fill="FFFFFF"/>
        </w:rPr>
      </w:pPr>
      <w:r>
        <w:rPr>
          <w:rFonts w:hint="eastAsia" w:ascii="Times New Roman" w:hAnsi="Times New Roman" w:eastAsia="宋体" w:cs="Times New Roman"/>
          <w:b/>
          <w:bCs/>
          <w:color w:val="auto"/>
          <w:kern w:val="0"/>
          <w:szCs w:val="21"/>
          <w:shd w:val="clear" w:color="auto" w:fill="FFFFFF"/>
        </w:rPr>
        <w:t>4.获取采购文件时间：</w:t>
      </w:r>
      <w:r>
        <w:rPr>
          <w:rFonts w:hint="eastAsia" w:ascii="Times New Roman" w:hAnsi="Times New Roman" w:eastAsia="宋体" w:cs="Times New Roman"/>
          <w:color w:val="auto"/>
          <w:kern w:val="0"/>
          <w:szCs w:val="21"/>
          <w:shd w:val="clear" w:color="auto" w:fill="FFFFFF"/>
        </w:rPr>
        <w:t>公告发布之日至投标截止时间</w:t>
      </w:r>
    </w:p>
    <w:p w14:paraId="417C3FF0">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八、投标文件的制作及递交：</w:t>
      </w:r>
    </w:p>
    <w:p w14:paraId="51AA9224">
      <w:pPr>
        <w:keepNext w:val="0"/>
        <w:keepLines w:val="0"/>
        <w:pageBreakBefore w:val="0"/>
        <w:widowControl/>
        <w:shd w:val="clear" w:color="auto" w:fill="FFFFFF"/>
        <w:kinsoku/>
        <w:wordWrap/>
        <w:overflowPunct/>
        <w:topLinePunct w:val="0"/>
        <w:autoSpaceDE/>
        <w:autoSpaceDN/>
        <w:bidi w:val="0"/>
        <w:adjustRightInd/>
        <w:spacing w:line="360" w:lineRule="auto"/>
        <w:ind w:firstLine="420" w:firstLineChars="200"/>
        <w:jc w:val="left"/>
        <w:textAlignment w:val="auto"/>
        <w:rPr>
          <w:rFonts w:ascii="Times New Roman" w:hAnsi="Times New Roman" w:eastAsia="宋体" w:cs="Times New Roman"/>
          <w:color w:val="auto"/>
          <w:kern w:val="0"/>
          <w:szCs w:val="21"/>
          <w:shd w:val="clear" w:color="auto" w:fill="FFFFFF"/>
        </w:rPr>
      </w:pPr>
      <w:r>
        <w:rPr>
          <w:rFonts w:ascii="Times New Roman" w:hAnsi="Times New Roman" w:eastAsia="宋体" w:cs="Times New Roman"/>
          <w:color w:val="auto"/>
          <w:kern w:val="0"/>
          <w:szCs w:val="21"/>
          <w:shd w:val="clear" w:color="auto" w:fill="FFFFFF"/>
        </w:rPr>
        <w:t>1.</w:t>
      </w:r>
      <w:r>
        <w:rPr>
          <w:rFonts w:hint="eastAsia" w:ascii="Times New Roman" w:hAnsi="Times New Roman" w:eastAsia="宋体" w:cs="Times New Roman"/>
          <w:color w:val="auto"/>
          <w:kern w:val="0"/>
          <w:szCs w:val="21"/>
          <w:shd w:val="clear" w:color="auto" w:fill="FFFFFF"/>
        </w:rPr>
        <w:t>供应商须</w:t>
      </w:r>
      <w:r>
        <w:rPr>
          <w:rFonts w:hint="eastAsia" w:ascii="Times New Roman" w:hAnsi="Times New Roman" w:eastAsia="宋体" w:cs="Times New Roman"/>
          <w:b/>
          <w:bCs/>
          <w:color w:val="auto"/>
          <w:kern w:val="0"/>
          <w:szCs w:val="21"/>
          <w:shd w:val="clear" w:color="auto" w:fill="FFFFFF"/>
        </w:rPr>
        <w:t>在线获取</w:t>
      </w:r>
      <w:r>
        <w:rPr>
          <w:rFonts w:ascii="Times New Roman" w:hAnsi="Times New Roman" w:eastAsia="宋体" w:cs="Times New Roman"/>
          <w:b/>
          <w:bCs/>
          <w:color w:val="auto"/>
          <w:kern w:val="0"/>
          <w:szCs w:val="21"/>
          <w:shd w:val="clear" w:color="auto" w:fill="FFFFFF"/>
        </w:rPr>
        <w:t>CA</w:t>
      </w:r>
      <w:r>
        <w:rPr>
          <w:rFonts w:hint="eastAsia" w:ascii="Times New Roman" w:hAnsi="Times New Roman" w:eastAsia="宋体" w:cs="Times New Roman"/>
          <w:b/>
          <w:bCs/>
          <w:color w:val="auto"/>
          <w:kern w:val="0"/>
          <w:szCs w:val="21"/>
          <w:shd w:val="clear" w:color="auto" w:fill="FFFFFF"/>
        </w:rPr>
        <w:t>数字证书</w:t>
      </w:r>
      <w:r>
        <w:rPr>
          <w:rFonts w:hint="eastAsia" w:ascii="Times New Roman" w:hAnsi="Times New Roman" w:eastAsia="宋体" w:cs="Times New Roman"/>
          <w:color w:val="auto"/>
          <w:kern w:val="0"/>
          <w:szCs w:val="21"/>
          <w:shd w:val="clear" w:color="auto" w:fill="FFFFFF"/>
        </w:rPr>
        <w:t>（完成</w:t>
      </w:r>
      <w:r>
        <w:rPr>
          <w:rFonts w:ascii="Times New Roman" w:hAnsi="Times New Roman" w:eastAsia="宋体" w:cs="Times New Roman"/>
          <w:color w:val="auto"/>
          <w:kern w:val="0"/>
          <w:szCs w:val="21"/>
          <w:shd w:val="clear" w:color="auto" w:fill="FFFFFF"/>
        </w:rPr>
        <w:t>CA</w:t>
      </w:r>
      <w:r>
        <w:rPr>
          <w:rFonts w:hint="eastAsia" w:ascii="Times New Roman" w:hAnsi="Times New Roman" w:eastAsia="宋体" w:cs="Times New Roman"/>
          <w:color w:val="auto"/>
          <w:kern w:val="0"/>
          <w:szCs w:val="21"/>
          <w:shd w:val="clear" w:color="auto" w:fill="FFFFFF"/>
        </w:rPr>
        <w:t>数字证书办理预计一周左右，建议各投标人自行把握时间）</w:t>
      </w:r>
      <w:r>
        <w:rPr>
          <w:rFonts w:hint="eastAsia" w:ascii="Times New Roman" w:hAnsi="Times New Roman" w:eastAsia="宋体" w:cs="Times New Roman"/>
          <w:b/>
          <w:bCs/>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并登录</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浙江政府采购网</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w:t>
      </w:r>
      <w:r>
        <w:rPr>
          <w:color w:val="auto"/>
        </w:rPr>
        <w:fldChar w:fldCharType="begin"/>
      </w:r>
      <w:r>
        <w:rPr>
          <w:color w:val="auto"/>
        </w:rPr>
        <w:instrText xml:space="preserve"> HYPERLINK "http://www.zjzfcg.gov.cn" </w:instrText>
      </w:r>
      <w:r>
        <w:rPr>
          <w:color w:val="auto"/>
        </w:rPr>
        <w:fldChar w:fldCharType="separate"/>
      </w:r>
      <w:r>
        <w:rPr>
          <w:rFonts w:ascii="Times New Roman" w:hAnsi="Times New Roman" w:eastAsia="宋体" w:cs="Times New Roman"/>
          <w:color w:val="auto"/>
          <w:kern w:val="0"/>
          <w:szCs w:val="21"/>
          <w:u w:val="single"/>
          <w:shd w:val="clear" w:color="auto" w:fill="FFFFFF"/>
        </w:rPr>
        <w:t>www.zjzfcg.gov.cn</w:t>
      </w:r>
      <w:r>
        <w:rPr>
          <w:rFonts w:ascii="Times New Roman" w:hAnsi="Times New Roman" w:eastAsia="宋体" w:cs="Times New Roman"/>
          <w:color w:val="auto"/>
          <w:kern w:val="0"/>
          <w:szCs w:val="21"/>
          <w:u w:val="single"/>
          <w:shd w:val="clear" w:color="auto" w:fill="FFFFFF"/>
        </w:rPr>
        <w:fldChar w:fldCharType="end"/>
      </w:r>
      <w:r>
        <w:rPr>
          <w:rFonts w:hint="eastAsia" w:ascii="Times New Roman" w:hAnsi="Times New Roman" w:eastAsia="宋体" w:cs="Times New Roman"/>
          <w:color w:val="auto"/>
          <w:kern w:val="0"/>
          <w:szCs w:val="21"/>
          <w:shd w:val="clear" w:color="auto" w:fill="FFFFFF"/>
        </w:rPr>
        <w:t>），进入</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下载专区</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下载</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电子交易客户端</w:t>
      </w:r>
      <w:r>
        <w:rPr>
          <w:rFonts w:ascii="Times New Roman" w:hAnsi="Times New Roman" w:eastAsia="宋体" w:cs="Times New Roman"/>
          <w:color w:val="auto"/>
          <w:kern w:val="0"/>
          <w:szCs w:val="21"/>
          <w:shd w:val="clear" w:color="auto" w:fill="FFFFFF"/>
        </w:rPr>
        <w:t>”</w:t>
      </w:r>
      <w:r>
        <w:rPr>
          <w:rFonts w:hint="eastAsia" w:ascii="Times New Roman" w:hAnsi="Times New Roman" w:eastAsia="宋体" w:cs="Times New Roman"/>
          <w:color w:val="auto"/>
          <w:kern w:val="0"/>
          <w:szCs w:val="21"/>
          <w:shd w:val="clear" w:color="auto" w:fill="FFFFFF"/>
        </w:rPr>
        <w:t>，制作投标文件。</w:t>
      </w:r>
    </w:p>
    <w:p w14:paraId="0722CADD">
      <w:pPr>
        <w:keepNext w:val="0"/>
        <w:keepLines w:val="0"/>
        <w:pageBreakBefore w:val="0"/>
        <w:widowControl/>
        <w:kinsoku/>
        <w:wordWrap/>
        <w:overflowPunct/>
        <w:topLinePunct w:val="0"/>
        <w:autoSpaceDE/>
        <w:autoSpaceDN/>
        <w:bidi w:val="0"/>
        <w:adjustRightInd/>
        <w:spacing w:line="360" w:lineRule="auto"/>
        <w:ind w:firstLine="420" w:firstLineChars="200"/>
        <w:textAlignment w:val="auto"/>
        <w:rPr>
          <w:rFonts w:ascii="Times New Roman" w:hAnsi="Times New Roman" w:eastAsia="宋体" w:cs="Times New Roman"/>
          <w:color w:val="auto"/>
          <w:kern w:val="0"/>
          <w:szCs w:val="21"/>
          <w:shd w:val="clear" w:color="auto" w:fill="FFFFFF"/>
        </w:rPr>
      </w:pPr>
      <w:r>
        <w:rPr>
          <w:rFonts w:ascii="Times New Roman" w:hAnsi="Times New Roman" w:eastAsia="宋体" w:cs="Times New Roman"/>
          <w:color w:val="auto"/>
          <w:kern w:val="0"/>
          <w:szCs w:val="21"/>
          <w:shd w:val="clear" w:color="auto" w:fill="FFFFFF"/>
        </w:rPr>
        <w:t>2.</w:t>
      </w:r>
      <w:r>
        <w:rPr>
          <w:rFonts w:hint="eastAsia" w:ascii="Times New Roman" w:hAnsi="Times New Roman" w:eastAsia="宋体" w:cs="Times New Roman"/>
          <w:color w:val="auto"/>
          <w:kern w:val="0"/>
          <w:szCs w:val="21"/>
          <w:shd w:val="clear" w:color="auto" w:fill="FFFFFF"/>
        </w:rPr>
        <w:t>投标人将加密的电子版投标文件于投标截止时间前上传到政采云系统中。</w:t>
      </w:r>
    </w:p>
    <w:p w14:paraId="4D39DAA2">
      <w:pPr>
        <w:keepNext w:val="0"/>
        <w:keepLines w:val="0"/>
        <w:pageBreakBefore w:val="0"/>
        <w:widowControl/>
        <w:shd w:val="clear" w:color="auto" w:fill="FFFFFF"/>
        <w:kinsoku/>
        <w:wordWrap/>
        <w:overflowPunct/>
        <w:topLinePunct w:val="0"/>
        <w:autoSpaceDE/>
        <w:autoSpaceDN/>
        <w:bidi w:val="0"/>
        <w:adjustRightInd/>
        <w:spacing w:line="360" w:lineRule="auto"/>
        <w:ind w:left="420" w:leftChars="200"/>
        <w:jc w:val="left"/>
        <w:textAlignment w:val="auto"/>
        <w:rPr>
          <w:rFonts w:ascii="Times New Roman" w:hAnsi="Times New Roman" w:eastAsia="宋体" w:cs="Times New Roman"/>
          <w:color w:val="auto"/>
          <w:kern w:val="0"/>
          <w:szCs w:val="21"/>
          <w:u w:val="single"/>
          <w:shd w:val="clear" w:color="auto" w:fill="FFFFFF"/>
        </w:rPr>
      </w:pPr>
      <w:r>
        <w:rPr>
          <w:rFonts w:ascii="Times New Roman" w:hAnsi="Times New Roman" w:eastAsia="宋体" w:cs="Times New Roman"/>
          <w:color w:val="auto"/>
          <w:kern w:val="0"/>
          <w:szCs w:val="21"/>
          <w:shd w:val="clear" w:color="auto" w:fill="FFFFFF"/>
        </w:rPr>
        <w:t>3.</w:t>
      </w:r>
      <w:r>
        <w:rPr>
          <w:rFonts w:hint="eastAsia" w:ascii="Times New Roman" w:hAnsi="Times New Roman" w:eastAsia="宋体" w:cs="Times New Roman"/>
          <w:color w:val="auto"/>
          <w:kern w:val="0"/>
          <w:szCs w:val="21"/>
          <w:shd w:val="clear" w:color="auto" w:fill="FFFFFF"/>
        </w:rPr>
        <w:t>具体的投标文件加密上传等操作详见政采云平台操作指南。</w:t>
      </w:r>
      <w:r>
        <w:rPr>
          <w:color w:val="auto"/>
        </w:rPr>
        <w:fldChar w:fldCharType="begin"/>
      </w:r>
      <w:r>
        <w:rPr>
          <w:color w:val="auto"/>
        </w:rPr>
        <w:instrText xml:space="preserve"> HYPERLINK "https://edu.zcygov.cn/luban/e-biding?utm=a0004.2ef5001f.0001.0109.da8b35e0da8611e98d8937b7ef8a3544" </w:instrText>
      </w:r>
      <w:r>
        <w:rPr>
          <w:color w:val="auto"/>
        </w:rPr>
        <w:fldChar w:fldCharType="separate"/>
      </w:r>
      <w:r>
        <w:rPr>
          <w:rFonts w:ascii="Times New Roman" w:hAnsi="Times New Roman" w:eastAsia="宋体" w:cs="Times New Roman"/>
          <w:color w:val="auto"/>
          <w:kern w:val="0"/>
          <w:szCs w:val="21"/>
          <w:u w:val="single"/>
          <w:shd w:val="clear" w:color="auto" w:fill="FFFFFF"/>
        </w:rPr>
        <w:t>https://edu.zcygov.cn/luban/e-biding?utm=a0004.2ef5001f.0001.0109.da8b35e0da8611e98d8937b7ef8a3544</w:t>
      </w:r>
      <w:r>
        <w:rPr>
          <w:rFonts w:ascii="Times New Roman" w:hAnsi="Times New Roman" w:eastAsia="宋体" w:cs="Times New Roman"/>
          <w:color w:val="auto"/>
          <w:kern w:val="0"/>
          <w:szCs w:val="21"/>
          <w:u w:val="single"/>
          <w:shd w:val="clear" w:color="auto" w:fill="FFFFFF"/>
        </w:rPr>
        <w:fldChar w:fldCharType="end"/>
      </w:r>
    </w:p>
    <w:p w14:paraId="493BC843">
      <w:pPr>
        <w:keepNext w:val="0"/>
        <w:keepLines w:val="0"/>
        <w:pageBreakBefore w:val="0"/>
        <w:widowControl/>
        <w:kinsoku/>
        <w:wordWrap/>
        <w:overflowPunct/>
        <w:topLinePunct w:val="0"/>
        <w:autoSpaceDE/>
        <w:autoSpaceDN/>
        <w:bidi w:val="0"/>
        <w:adjustRightInd/>
        <w:spacing w:line="360" w:lineRule="auto"/>
        <w:textAlignment w:val="auto"/>
        <w:rPr>
          <w:rFonts w:ascii="Times New Roman" w:hAnsi="Times New Roman" w:eastAsia="宋体" w:cs="Times New Roman"/>
          <w:color w:val="auto"/>
          <w:kern w:val="0"/>
          <w:szCs w:val="21"/>
        </w:rPr>
      </w:pPr>
      <w:r>
        <w:rPr>
          <w:rFonts w:hint="eastAsia" w:ascii="Times New Roman" w:hAnsi="Times New Roman" w:eastAsia="宋体" w:cs="Times New Roman"/>
          <w:b/>
          <w:bCs/>
          <w:color w:val="auto"/>
          <w:kern w:val="0"/>
          <w:szCs w:val="21"/>
        </w:rPr>
        <w:t>九、投标保证金：无。</w:t>
      </w:r>
    </w:p>
    <w:p w14:paraId="6E7F9B4E">
      <w:pPr>
        <w:keepNext w:val="0"/>
        <w:keepLines w:val="0"/>
        <w:pageBreakBefore w:val="0"/>
        <w:widowControl/>
        <w:kinsoku/>
        <w:wordWrap/>
        <w:overflowPunct/>
        <w:topLinePunct w:val="0"/>
        <w:autoSpaceDE/>
        <w:autoSpaceDN/>
        <w:bidi w:val="0"/>
        <w:adjustRightInd/>
        <w:spacing w:line="360" w:lineRule="auto"/>
        <w:textAlignment w:val="auto"/>
        <w:rPr>
          <w:rFonts w:ascii="Times New Roman" w:hAnsi="Times New Roman" w:eastAsia="宋体" w:cs="Times New Roman"/>
          <w:b/>
          <w:bCs/>
          <w:color w:val="auto"/>
          <w:kern w:val="0"/>
          <w:szCs w:val="21"/>
        </w:rPr>
      </w:pPr>
      <w:r>
        <w:rPr>
          <w:rFonts w:hint="eastAsia" w:ascii="Times New Roman" w:hAnsi="Times New Roman" w:eastAsia="宋体" w:cs="Times New Roman"/>
          <w:b/>
          <w:bCs/>
          <w:color w:val="auto"/>
          <w:kern w:val="0"/>
          <w:szCs w:val="21"/>
        </w:rPr>
        <w:t>十、投标截止时间和地址：</w:t>
      </w:r>
    </w:p>
    <w:p w14:paraId="7146A2AC">
      <w:pPr>
        <w:keepNext w:val="0"/>
        <w:keepLines w:val="0"/>
        <w:pageBreakBefore w:val="0"/>
        <w:kinsoku/>
        <w:wordWrap/>
        <w:overflowPunct/>
        <w:topLinePunct w:val="0"/>
        <w:autoSpaceDE/>
        <w:autoSpaceDN/>
        <w:bidi w:val="0"/>
        <w:adjustRightInd/>
        <w:spacing w:line="360" w:lineRule="auto"/>
        <w:ind w:firstLine="632" w:firstLineChars="300"/>
        <w:textAlignment w:val="auto"/>
        <w:rPr>
          <w:rFonts w:ascii="Times New Roman" w:hAnsi="Times New Roman" w:eastAsia="宋体" w:cs="Times New Roman"/>
          <w:b/>
          <w:color w:val="auto"/>
          <w:szCs w:val="21"/>
        </w:rPr>
      </w:pPr>
      <w:r>
        <w:rPr>
          <w:rFonts w:ascii="Times New Roman" w:hAnsi="Times New Roman" w:eastAsia="宋体" w:cs="Times New Roman"/>
          <w:b/>
          <w:color w:val="auto"/>
          <w:szCs w:val="21"/>
        </w:rPr>
        <w:t>1.</w:t>
      </w:r>
      <w:r>
        <w:rPr>
          <w:rFonts w:hint="eastAsia" w:ascii="Times New Roman" w:hAnsi="Times New Roman" w:eastAsia="宋体" w:cs="Times New Roman"/>
          <w:b/>
          <w:color w:val="auto"/>
          <w:szCs w:val="21"/>
        </w:rPr>
        <w:t>本项目实行电子投标。</w:t>
      </w:r>
    </w:p>
    <w:p w14:paraId="6C11066A">
      <w:pPr>
        <w:keepNext w:val="0"/>
        <w:keepLines w:val="0"/>
        <w:pageBreakBefore w:val="0"/>
        <w:kinsoku/>
        <w:wordWrap/>
        <w:overflowPunct/>
        <w:topLinePunct w:val="0"/>
        <w:autoSpaceDE/>
        <w:autoSpaceDN/>
        <w:bidi w:val="0"/>
        <w:adjustRightInd/>
        <w:spacing w:line="360" w:lineRule="auto"/>
        <w:ind w:firstLine="420" w:firstLineChars="200"/>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投标人应准备电子投标文件、以介质存储的数据电文形式的备份投标文件；</w:t>
      </w:r>
    </w:p>
    <w:p w14:paraId="43A3EE7E">
      <w:pPr>
        <w:keepNext w:val="0"/>
        <w:keepLines w:val="0"/>
        <w:pageBreakBefore w:val="0"/>
        <w:kinsoku/>
        <w:wordWrap/>
        <w:overflowPunct/>
        <w:topLinePunct w:val="0"/>
        <w:autoSpaceDE/>
        <w:autoSpaceDN/>
        <w:bidi w:val="0"/>
        <w:adjustRightInd/>
        <w:spacing w:line="360" w:lineRule="auto"/>
        <w:ind w:firstLine="420" w:firstLineChars="200"/>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）电子投标文件，按政采云平台项目采购</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电子交易操作指南及本招标文件要求递交。</w:t>
      </w:r>
      <w:r>
        <w:rPr>
          <w:rFonts w:hint="eastAsia" w:ascii="Times New Roman" w:hAnsi="Times New Roman" w:eastAsia="宋体" w:cs="Times New Roman"/>
          <w:color w:val="auto"/>
          <w:szCs w:val="21"/>
          <w:shd w:val="clear" w:color="auto" w:fill="FFFFFF"/>
        </w:rPr>
        <w:t>投标人应于</w:t>
      </w:r>
      <w:bookmarkStart w:id="1" w:name="_Hlk100345522"/>
      <w:r>
        <w:rPr>
          <w:rFonts w:hint="eastAsia" w:ascii="Times New Roman" w:hAnsi="Times New Roman" w:eastAsia="宋体" w:cs="Times New Roman"/>
          <w:color w:val="auto"/>
          <w:szCs w:val="21"/>
          <w:shd w:val="clear" w:color="auto" w:fill="FFFFFF"/>
        </w:rPr>
        <w:t>202</w:t>
      </w:r>
      <w:r>
        <w:rPr>
          <w:rFonts w:hint="eastAsia" w:ascii="Times New Roman" w:hAnsi="Times New Roman" w:eastAsia="宋体" w:cs="Times New Roman"/>
          <w:color w:val="auto"/>
          <w:szCs w:val="21"/>
          <w:shd w:val="clear" w:color="auto" w:fill="FFFFFF"/>
          <w:lang w:val="en-US" w:eastAsia="zh-CN"/>
        </w:rPr>
        <w:t>5</w:t>
      </w:r>
      <w:r>
        <w:rPr>
          <w:rFonts w:hint="eastAsia" w:ascii="Times New Roman" w:hAnsi="Times New Roman" w:eastAsia="宋体" w:cs="Times New Roman"/>
          <w:color w:val="auto"/>
          <w:szCs w:val="21"/>
          <w:shd w:val="clear" w:color="auto" w:fill="FFFFFF"/>
        </w:rPr>
        <w:t>年</w:t>
      </w:r>
      <w:r>
        <w:rPr>
          <w:rFonts w:hint="eastAsia" w:ascii="Times New Roman" w:hAnsi="Times New Roman" w:eastAsia="宋体" w:cs="Times New Roman"/>
          <w:color w:val="auto"/>
          <w:szCs w:val="21"/>
          <w:shd w:val="clear" w:color="auto" w:fill="FFFFFF"/>
          <w:lang w:val="en-US" w:eastAsia="zh-CN"/>
        </w:rPr>
        <w:t>09</w:t>
      </w:r>
      <w:r>
        <w:rPr>
          <w:rFonts w:hint="eastAsia" w:ascii="Times New Roman" w:hAnsi="Times New Roman" w:eastAsia="宋体" w:cs="Times New Roman"/>
          <w:color w:val="auto"/>
          <w:szCs w:val="21"/>
          <w:shd w:val="clear" w:color="auto" w:fill="FFFFFF"/>
        </w:rPr>
        <w:t>月</w:t>
      </w:r>
      <w:r>
        <w:rPr>
          <w:rFonts w:hint="eastAsia" w:ascii="Times New Roman" w:hAnsi="Times New Roman" w:eastAsia="宋体" w:cs="Times New Roman"/>
          <w:color w:val="auto"/>
          <w:szCs w:val="21"/>
          <w:shd w:val="clear" w:color="auto" w:fill="FFFFFF"/>
          <w:lang w:val="en-US" w:eastAsia="zh-CN"/>
        </w:rPr>
        <w:t>02</w:t>
      </w:r>
      <w:r>
        <w:rPr>
          <w:rFonts w:hint="eastAsia" w:ascii="Times New Roman" w:hAnsi="Times New Roman" w:eastAsia="宋体" w:cs="Times New Roman"/>
          <w:color w:val="auto"/>
          <w:szCs w:val="21"/>
          <w:shd w:val="clear" w:color="auto" w:fill="FFFFFF"/>
        </w:rPr>
        <w:t>日14：</w:t>
      </w:r>
      <w:bookmarkEnd w:id="1"/>
      <w:r>
        <w:rPr>
          <w:rFonts w:hint="eastAsia" w:ascii="Times New Roman" w:hAnsi="Times New Roman" w:eastAsia="宋体" w:cs="Times New Roman"/>
          <w:color w:val="auto"/>
          <w:szCs w:val="21"/>
          <w:shd w:val="clear" w:color="auto" w:fill="FFFFFF"/>
          <w:lang w:val="en-US" w:eastAsia="zh-CN"/>
        </w:rPr>
        <w:t>45</w:t>
      </w:r>
      <w:r>
        <w:rPr>
          <w:rFonts w:hint="eastAsia" w:ascii="Times New Roman" w:hAnsi="Times New Roman" w:eastAsia="宋体" w:cs="Times New Roman"/>
          <w:color w:val="auto"/>
          <w:szCs w:val="21"/>
          <w:shd w:val="clear" w:color="auto" w:fill="FFFFFF"/>
        </w:rPr>
        <w:t>前将加密的电子版投标文件上传到政采云系统中（不准时上传视为无效标）。</w:t>
      </w:r>
      <w:r>
        <w:rPr>
          <w:rFonts w:ascii="Times New Roman" w:hAnsi="Times New Roman" w:eastAsia="宋体" w:cs="Times New Roman"/>
          <w:b/>
          <w:color w:val="auto"/>
          <w:szCs w:val="21"/>
          <w:shd w:val="clear" w:color="auto" w:fill="FFFFFF"/>
        </w:rPr>
        <w:t>CA</w:t>
      </w:r>
      <w:r>
        <w:rPr>
          <w:rFonts w:hint="eastAsia" w:ascii="Times New Roman" w:hAnsi="Times New Roman" w:eastAsia="宋体" w:cs="Times New Roman"/>
          <w:b/>
          <w:color w:val="auto"/>
          <w:szCs w:val="21"/>
          <w:shd w:val="clear" w:color="auto" w:fill="FFFFFF"/>
        </w:rPr>
        <w:t>数字证书随身携带或准时解码。</w:t>
      </w:r>
    </w:p>
    <w:p w14:paraId="4BD9605F">
      <w:pPr>
        <w:keepNext w:val="0"/>
        <w:keepLines w:val="0"/>
        <w:pageBreakBefore w:val="0"/>
        <w:kinsoku/>
        <w:wordWrap/>
        <w:overflowPunct/>
        <w:topLinePunct w:val="0"/>
        <w:autoSpaceDE/>
        <w:autoSpaceDN/>
        <w:bidi w:val="0"/>
        <w:adjustRightInd/>
        <w:spacing w:line="360" w:lineRule="auto"/>
        <w:ind w:firstLine="420" w:firstLineChars="200"/>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）以介质存储的数据电文形式的备份投标文件，按政采云平台项目采购</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电子交易操作指南中上传的电子投标文件格式，以</w:t>
      </w:r>
      <w:r>
        <w:rPr>
          <w:rFonts w:ascii="Times New Roman" w:hAnsi="Times New Roman" w:eastAsia="宋体" w:cs="Times New Roman"/>
          <w:color w:val="auto"/>
          <w:szCs w:val="21"/>
        </w:rPr>
        <w:t>U</w:t>
      </w:r>
      <w:r>
        <w:rPr>
          <w:rFonts w:hint="eastAsia" w:ascii="Times New Roman" w:hAnsi="Times New Roman" w:eastAsia="宋体" w:cs="Times New Roman"/>
          <w:color w:val="auto"/>
          <w:szCs w:val="21"/>
        </w:rPr>
        <w:t>盘形式存储提供。数量为</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份。</w:t>
      </w:r>
    </w:p>
    <w:p w14:paraId="268CF50A">
      <w:pPr>
        <w:keepNext w:val="0"/>
        <w:keepLines w:val="0"/>
        <w:pageBreakBefore w:val="0"/>
        <w:widowControl/>
        <w:shd w:val="clear" w:color="auto" w:fill="FFFFFF"/>
        <w:kinsoku/>
        <w:wordWrap/>
        <w:overflowPunct/>
        <w:topLinePunct w:val="0"/>
        <w:autoSpaceDE/>
        <w:autoSpaceDN/>
        <w:bidi w:val="0"/>
        <w:adjustRightInd/>
        <w:spacing w:line="360" w:lineRule="auto"/>
        <w:ind w:firstLine="519" w:firstLineChars="246"/>
        <w:jc w:val="left"/>
        <w:textAlignment w:val="auto"/>
        <w:rPr>
          <w:rFonts w:hint="default"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rPr>
        <w:t>投标人可于2025年</w:t>
      </w:r>
      <w:r>
        <w:rPr>
          <w:rFonts w:hint="eastAsia" w:ascii="Times New Roman" w:hAnsi="Times New Roman" w:eastAsia="宋体" w:cs="Times New Roman"/>
          <w:b/>
          <w:color w:val="auto"/>
          <w:kern w:val="0"/>
          <w:szCs w:val="21"/>
          <w:lang w:val="en-US" w:eastAsia="zh-CN"/>
        </w:rPr>
        <w:t>09</w:t>
      </w:r>
      <w:r>
        <w:rPr>
          <w:rFonts w:hint="eastAsia" w:ascii="Times New Roman" w:hAnsi="Times New Roman" w:eastAsia="宋体" w:cs="Times New Roman"/>
          <w:b/>
          <w:color w:val="auto"/>
          <w:kern w:val="0"/>
          <w:szCs w:val="21"/>
        </w:rPr>
        <w:t>月</w:t>
      </w:r>
      <w:r>
        <w:rPr>
          <w:rFonts w:hint="eastAsia" w:ascii="Times New Roman" w:hAnsi="Times New Roman" w:eastAsia="宋体" w:cs="Times New Roman"/>
          <w:b/>
          <w:color w:val="auto"/>
          <w:kern w:val="0"/>
          <w:szCs w:val="21"/>
          <w:lang w:val="en-US" w:eastAsia="zh-CN"/>
        </w:rPr>
        <w:t>01</w:t>
      </w:r>
      <w:r>
        <w:rPr>
          <w:rFonts w:hint="eastAsia" w:ascii="Times New Roman" w:hAnsi="Times New Roman" w:eastAsia="宋体" w:cs="Times New Roman"/>
          <w:b/>
          <w:color w:val="auto"/>
          <w:kern w:val="0"/>
          <w:szCs w:val="21"/>
        </w:rPr>
        <w:t>日11：30（北京时间）前将密封的投标文件寄到或送达采购代理公司。地址：舟山市定海区昌国路232号中楼202  深圳市国信招标有限公司舟山分公司(收件人：任女士，联系电话：13567673203）。寄错地址或未按时寄到的自行承担风险。也可开标会现场递交，递交截止时间2025年09月02日14：45</w:t>
      </w:r>
    </w:p>
    <w:p w14:paraId="63FB15E7">
      <w:pPr>
        <w:keepNext w:val="0"/>
        <w:keepLines w:val="0"/>
        <w:pageBreakBefore w:val="0"/>
        <w:widowControl/>
        <w:shd w:val="clear" w:color="auto" w:fill="FFFFFF"/>
        <w:kinsoku/>
        <w:wordWrap/>
        <w:overflowPunct/>
        <w:topLinePunct w:val="0"/>
        <w:autoSpaceDE/>
        <w:autoSpaceDN/>
        <w:bidi w:val="0"/>
        <w:adjustRightInd/>
        <w:spacing w:line="360" w:lineRule="auto"/>
        <w:ind w:firstLine="519" w:firstLineChars="246"/>
        <w:jc w:val="left"/>
        <w:textAlignment w:val="auto"/>
        <w:rPr>
          <w:rFonts w:ascii="Times New Roman" w:hAnsi="Times New Roman" w:eastAsia="宋体" w:cs="Times New Roman"/>
          <w:b/>
          <w:color w:val="auto"/>
          <w:kern w:val="0"/>
          <w:szCs w:val="21"/>
        </w:rPr>
      </w:pPr>
      <w:r>
        <w:rPr>
          <w:rFonts w:hint="eastAsia" w:ascii="Times New Roman" w:hAnsi="Times New Roman" w:eastAsia="宋体" w:cs="Times New Roman"/>
          <w:b/>
          <w:color w:val="auto"/>
          <w:kern w:val="0"/>
          <w:szCs w:val="21"/>
        </w:rPr>
        <w:t>投标人可以不提供备份投标文件，造成项目开评标活动无法进行下去的，投标无效，相关风险由投标人自行承担。</w:t>
      </w:r>
    </w:p>
    <w:p w14:paraId="719C442C">
      <w:pPr>
        <w:keepNext w:val="0"/>
        <w:keepLines w:val="0"/>
        <w:pageBreakBefore w:val="0"/>
        <w:widowControl/>
        <w:shd w:val="clear" w:color="auto" w:fill="FFFFFF"/>
        <w:kinsoku/>
        <w:wordWrap/>
        <w:overflowPunct/>
        <w:topLinePunct w:val="0"/>
        <w:autoSpaceDE/>
        <w:autoSpaceDN/>
        <w:bidi w:val="0"/>
        <w:adjustRightInd/>
        <w:spacing w:line="360" w:lineRule="auto"/>
        <w:ind w:firstLine="413" w:firstLineChars="196"/>
        <w:jc w:val="left"/>
        <w:textAlignment w:val="auto"/>
        <w:rPr>
          <w:rFonts w:hint="default" w:ascii="Times New Roman" w:hAnsi="Times New Roman" w:eastAsia="宋体" w:cs="Times New Roman"/>
          <w:bCs/>
          <w:color w:val="auto"/>
          <w:kern w:val="0"/>
          <w:szCs w:val="21"/>
          <w:lang w:val="en-US" w:eastAsia="zh-CN"/>
        </w:rPr>
      </w:pPr>
      <w:r>
        <w:rPr>
          <w:rFonts w:ascii="Times New Roman" w:hAnsi="Times New Roman" w:eastAsia="宋体" w:cs="Times New Roman"/>
          <w:b/>
          <w:bCs/>
          <w:color w:val="auto"/>
          <w:szCs w:val="21"/>
        </w:rPr>
        <w:t>2.</w:t>
      </w:r>
      <w:r>
        <w:rPr>
          <w:rFonts w:hint="eastAsia" w:ascii="Times New Roman" w:hAnsi="Times New Roman" w:eastAsia="宋体" w:cs="Times New Roman"/>
          <w:b/>
          <w:bCs/>
          <w:color w:val="auto"/>
          <w:szCs w:val="21"/>
        </w:rPr>
        <w:t>开标时间：</w:t>
      </w:r>
      <w:r>
        <w:rPr>
          <w:rFonts w:hint="eastAsia" w:ascii="Times New Roman" w:hAnsi="Times New Roman" w:eastAsia="宋体" w:cs="Times New Roman"/>
          <w:color w:val="auto"/>
          <w:szCs w:val="21"/>
          <w:shd w:val="clear" w:color="auto" w:fill="FFFFFF"/>
        </w:rPr>
        <w:t>202</w:t>
      </w:r>
      <w:r>
        <w:rPr>
          <w:rFonts w:hint="eastAsia" w:ascii="Times New Roman" w:hAnsi="Times New Roman" w:eastAsia="宋体" w:cs="Times New Roman"/>
          <w:color w:val="auto"/>
          <w:szCs w:val="21"/>
          <w:shd w:val="clear" w:color="auto" w:fill="FFFFFF"/>
          <w:lang w:val="en-US" w:eastAsia="zh-CN"/>
        </w:rPr>
        <w:t>5</w:t>
      </w:r>
      <w:r>
        <w:rPr>
          <w:rFonts w:hint="eastAsia" w:ascii="Times New Roman" w:hAnsi="Times New Roman" w:eastAsia="宋体" w:cs="Times New Roman"/>
          <w:color w:val="auto"/>
          <w:szCs w:val="21"/>
          <w:shd w:val="clear" w:color="auto" w:fill="FFFFFF"/>
        </w:rPr>
        <w:t>年</w:t>
      </w:r>
      <w:r>
        <w:rPr>
          <w:rFonts w:hint="eastAsia" w:ascii="Times New Roman" w:hAnsi="Times New Roman" w:eastAsia="宋体" w:cs="Times New Roman"/>
          <w:color w:val="auto"/>
          <w:szCs w:val="21"/>
          <w:shd w:val="clear" w:color="auto" w:fill="FFFFFF"/>
          <w:lang w:val="en-US" w:eastAsia="zh-CN"/>
        </w:rPr>
        <w:t>09</w:t>
      </w:r>
      <w:r>
        <w:rPr>
          <w:rFonts w:hint="eastAsia" w:ascii="Times New Roman" w:hAnsi="Times New Roman" w:eastAsia="宋体" w:cs="Times New Roman"/>
          <w:color w:val="auto"/>
          <w:szCs w:val="21"/>
          <w:shd w:val="clear" w:color="auto" w:fill="FFFFFF"/>
        </w:rPr>
        <w:t>月</w:t>
      </w:r>
      <w:r>
        <w:rPr>
          <w:rFonts w:hint="eastAsia" w:ascii="Times New Roman" w:hAnsi="Times New Roman" w:eastAsia="宋体" w:cs="Times New Roman"/>
          <w:color w:val="auto"/>
          <w:szCs w:val="21"/>
          <w:shd w:val="clear" w:color="auto" w:fill="FFFFFF"/>
          <w:lang w:val="en-US" w:eastAsia="zh-CN"/>
        </w:rPr>
        <w:t>02</w:t>
      </w:r>
      <w:r>
        <w:rPr>
          <w:rFonts w:hint="eastAsia" w:ascii="Times New Roman" w:hAnsi="Times New Roman" w:eastAsia="宋体" w:cs="Times New Roman"/>
          <w:color w:val="auto"/>
          <w:szCs w:val="21"/>
          <w:shd w:val="clear" w:color="auto" w:fill="FFFFFF"/>
        </w:rPr>
        <w:t>日14：</w:t>
      </w:r>
      <w:r>
        <w:rPr>
          <w:rFonts w:hint="eastAsia" w:ascii="Times New Roman" w:hAnsi="Times New Roman" w:eastAsia="宋体" w:cs="Times New Roman"/>
          <w:color w:val="auto"/>
          <w:szCs w:val="21"/>
          <w:shd w:val="clear" w:color="auto" w:fill="FFFFFF"/>
          <w:lang w:val="en-US" w:eastAsia="zh-CN"/>
        </w:rPr>
        <w:t>45</w:t>
      </w:r>
    </w:p>
    <w:p w14:paraId="5D97D5D4">
      <w:pPr>
        <w:keepNext w:val="0"/>
        <w:keepLines w:val="0"/>
        <w:pageBreakBefore w:val="0"/>
        <w:widowControl/>
        <w:shd w:val="clear" w:color="auto" w:fill="FFFFFF"/>
        <w:kinsoku/>
        <w:wordWrap/>
        <w:overflowPunct/>
        <w:topLinePunct w:val="0"/>
        <w:autoSpaceDE/>
        <w:autoSpaceDN/>
        <w:bidi w:val="0"/>
        <w:adjustRightInd/>
        <w:spacing w:line="360" w:lineRule="auto"/>
        <w:ind w:firstLine="410"/>
        <w:jc w:val="left"/>
        <w:textAlignment w:val="auto"/>
        <w:rPr>
          <w:rFonts w:hint="default" w:ascii="Times New Roman" w:hAnsi="Times New Roman" w:eastAsia="宋体" w:cs="Times New Roman"/>
          <w:color w:val="auto"/>
          <w:kern w:val="0"/>
          <w:szCs w:val="21"/>
          <w:lang w:val="en-US" w:eastAsia="zh-CN"/>
        </w:rPr>
      </w:pPr>
      <w:r>
        <w:rPr>
          <w:rFonts w:ascii="Times New Roman" w:hAnsi="Times New Roman" w:eastAsia="宋体" w:cs="Times New Roman"/>
          <w:b/>
          <w:bCs/>
          <w:color w:val="auto"/>
          <w:szCs w:val="21"/>
        </w:rPr>
        <w:t>3.</w:t>
      </w:r>
      <w:r>
        <w:rPr>
          <w:rFonts w:hint="eastAsia" w:ascii="Times New Roman" w:hAnsi="Times New Roman" w:eastAsia="宋体" w:cs="Times New Roman"/>
          <w:b/>
          <w:bCs/>
          <w:color w:val="auto"/>
          <w:szCs w:val="21"/>
        </w:rPr>
        <w:t>开标地点：</w:t>
      </w:r>
      <w:r>
        <w:rPr>
          <w:rFonts w:hint="eastAsia" w:ascii="Times New Roman" w:hAnsi="Times New Roman" w:eastAsia="宋体" w:cs="Times New Roman"/>
          <w:color w:val="auto"/>
          <w:kern w:val="0"/>
          <w:szCs w:val="21"/>
        </w:rPr>
        <w:t>舟山市</w:t>
      </w:r>
      <w:r>
        <w:rPr>
          <w:rFonts w:hint="eastAsia" w:ascii="Times New Roman" w:hAnsi="Times New Roman" w:eastAsia="宋体" w:cs="Times New Roman"/>
          <w:color w:val="auto"/>
          <w:kern w:val="0"/>
          <w:szCs w:val="21"/>
          <w:lang w:val="en-US" w:eastAsia="zh-CN"/>
        </w:rPr>
        <w:t>定海区颜家峧路7号一楼</w:t>
      </w:r>
    </w:p>
    <w:p w14:paraId="77601EF4">
      <w:pPr>
        <w:keepNext w:val="0"/>
        <w:keepLines w:val="0"/>
        <w:pageBreakBefore w:val="0"/>
        <w:widowControl/>
        <w:shd w:val="clear" w:color="auto" w:fill="FFFFFF"/>
        <w:kinsoku/>
        <w:wordWrap/>
        <w:overflowPunct/>
        <w:topLinePunct w:val="0"/>
        <w:autoSpaceDE/>
        <w:autoSpaceDN/>
        <w:bidi w:val="0"/>
        <w:adjustRightInd/>
        <w:spacing w:line="36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b/>
          <w:bCs/>
          <w:color w:val="auto"/>
          <w:kern w:val="0"/>
          <w:szCs w:val="21"/>
        </w:rPr>
        <w:t>十一、其他事项：</w:t>
      </w:r>
    </w:p>
    <w:p w14:paraId="4C3BC988">
      <w:pPr>
        <w:keepNext w:val="0"/>
        <w:keepLines w:val="0"/>
        <w:pageBreakBefore w:val="0"/>
        <w:kinsoku/>
        <w:wordWrap/>
        <w:overflowPunct/>
        <w:topLinePunct w:val="0"/>
        <w:autoSpaceDE/>
        <w:autoSpaceDN/>
        <w:bidi w:val="0"/>
        <w:adjustRightInd/>
        <w:spacing w:line="360" w:lineRule="auto"/>
        <w:ind w:firstLine="420" w:firstLineChars="200"/>
        <w:textAlignment w:val="auto"/>
        <w:rPr>
          <w:rFonts w:ascii="Times New Roman" w:hAnsi="Times New Roman" w:eastAsia="宋体" w:cs="Times New Roman"/>
          <w:color w:val="auto"/>
        </w:rPr>
      </w:pPr>
      <w:r>
        <w:rPr>
          <w:rFonts w:ascii="Times New Roman" w:hAnsi="Times New Roman" w:eastAsia="宋体" w:cs="Times New Roman"/>
          <w:color w:val="auto"/>
          <w:szCs w:val="21"/>
        </w:rPr>
        <w:t>1.</w:t>
      </w:r>
      <w:r>
        <w:rPr>
          <w:rFonts w:hint="eastAsia" w:ascii="Times New Roman" w:hAnsi="Times New Roman" w:eastAsia="宋体" w:cs="Times New Roman"/>
          <w:color w:val="auto"/>
        </w:rPr>
        <w:t>本项目公告期限为</w:t>
      </w:r>
      <w:r>
        <w:rPr>
          <w:rFonts w:ascii="Times New Roman" w:hAnsi="Times New Roman" w:eastAsia="宋体" w:cs="Times New Roman"/>
          <w:color w:val="auto"/>
        </w:rPr>
        <w:t>5</w:t>
      </w:r>
      <w:r>
        <w:rPr>
          <w:rFonts w:hint="eastAsia" w:ascii="Times New Roman" w:hAnsi="Times New Roman" w:eastAsia="宋体" w:cs="Times New Roman"/>
          <w:color w:val="auto"/>
        </w:rPr>
        <w:t>个工作日，供应商认为采购文件使自己的权益受到损害的，可以自获取采购文件之日或者采购文件公告期限届满之日（公告期限届满后获取采购文件的，以公告期限届满之日为准）起</w:t>
      </w:r>
      <w:r>
        <w:rPr>
          <w:rFonts w:ascii="Times New Roman" w:hAnsi="Times New Roman" w:eastAsia="宋体" w:cs="Times New Roman"/>
          <w:color w:val="auto"/>
        </w:rPr>
        <w:t>7</w:t>
      </w:r>
      <w:r>
        <w:rPr>
          <w:rFonts w:hint="eastAsia" w:ascii="Times New Roman" w:hAnsi="Times New Roman" w:eastAsia="宋体" w:cs="Times New Roman"/>
          <w:color w:val="auto"/>
        </w:rPr>
        <w:t>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1E1DEE81">
      <w:pPr>
        <w:keepNext w:val="0"/>
        <w:keepLines w:val="0"/>
        <w:pageBreakBefore w:val="0"/>
        <w:kinsoku/>
        <w:wordWrap/>
        <w:overflowPunct/>
        <w:topLinePunct w:val="0"/>
        <w:autoSpaceDE/>
        <w:autoSpaceDN/>
        <w:bidi w:val="0"/>
        <w:adjustRightInd/>
        <w:spacing w:line="360" w:lineRule="auto"/>
        <w:ind w:firstLine="420" w:firstLineChars="200"/>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投标人应在合同签订前成为浙江政府采购网正式注册供应商。</w:t>
      </w:r>
    </w:p>
    <w:p w14:paraId="508683BD">
      <w:pPr>
        <w:keepNext w:val="0"/>
        <w:keepLines w:val="0"/>
        <w:pageBreakBefore w:val="0"/>
        <w:widowControl/>
        <w:kinsoku/>
        <w:wordWrap/>
        <w:overflowPunct/>
        <w:topLinePunct w:val="0"/>
        <w:autoSpaceDE/>
        <w:autoSpaceDN/>
        <w:bidi w:val="0"/>
        <w:adjustRightInd/>
        <w:spacing w:line="360" w:lineRule="auto"/>
        <w:textAlignment w:val="auto"/>
        <w:rPr>
          <w:rFonts w:ascii="Times New Roman" w:hAnsi="Times New Roman" w:eastAsia="宋体" w:cs="Times New Roman"/>
          <w:color w:val="auto"/>
          <w:kern w:val="0"/>
          <w:szCs w:val="21"/>
        </w:rPr>
      </w:pPr>
      <w:r>
        <w:rPr>
          <w:rFonts w:hint="eastAsia" w:ascii="Times New Roman" w:hAnsi="Times New Roman" w:eastAsia="宋体" w:cs="Times New Roman"/>
          <w:b/>
          <w:bCs/>
          <w:color w:val="auto"/>
          <w:kern w:val="0"/>
          <w:szCs w:val="21"/>
        </w:rPr>
        <w:t>十二、联系方式：</w:t>
      </w:r>
    </w:p>
    <w:p w14:paraId="75500D7A">
      <w:pPr>
        <w:keepNext w:val="0"/>
        <w:keepLines w:val="0"/>
        <w:pageBreakBefore w:val="0"/>
        <w:widowControl/>
        <w:kinsoku/>
        <w:wordWrap/>
        <w:overflowPunct/>
        <w:topLinePunct w:val="0"/>
        <w:autoSpaceDE/>
        <w:autoSpaceDN/>
        <w:bidi w:val="0"/>
        <w:adjustRightInd/>
        <w:spacing w:line="360" w:lineRule="auto"/>
        <w:ind w:firstLine="420"/>
        <w:textAlignment w:val="auto"/>
        <w:rPr>
          <w:rFonts w:ascii="Times New Roman" w:hAnsi="Times New Roman" w:eastAsia="宋体" w:cs="Times New Roman"/>
          <w:color w:val="auto"/>
          <w:kern w:val="0"/>
          <w:szCs w:val="21"/>
          <w:shd w:val="clear" w:color="auto" w:fill="FFFFFF"/>
        </w:rPr>
      </w:pPr>
      <w:r>
        <w:rPr>
          <w:rFonts w:ascii="Times New Roman" w:hAnsi="Times New Roman" w:eastAsia="宋体" w:cs="Times New Roman"/>
          <w:color w:val="auto"/>
          <w:kern w:val="0"/>
          <w:szCs w:val="21"/>
          <w:shd w:val="clear" w:color="auto" w:fill="FFFFFF"/>
        </w:rPr>
        <w:t>1.</w:t>
      </w:r>
      <w:r>
        <w:rPr>
          <w:rFonts w:hint="eastAsia" w:ascii="Times New Roman" w:hAnsi="Times New Roman" w:eastAsia="宋体" w:cs="Times New Roman"/>
          <w:color w:val="auto"/>
          <w:kern w:val="0"/>
          <w:szCs w:val="21"/>
          <w:shd w:val="clear" w:color="auto" w:fill="FFFFFF"/>
        </w:rPr>
        <w:t>采购代理机构名称：深圳市国信招标有限公司舟山分公司</w:t>
      </w:r>
    </w:p>
    <w:p w14:paraId="2D2C9814">
      <w:pPr>
        <w:keepNext w:val="0"/>
        <w:keepLines w:val="0"/>
        <w:pageBreakBefore w:val="0"/>
        <w:widowControl/>
        <w:kinsoku/>
        <w:wordWrap/>
        <w:overflowPunct/>
        <w:topLinePunct w:val="0"/>
        <w:autoSpaceDE/>
        <w:autoSpaceDN/>
        <w:bidi w:val="0"/>
        <w:adjustRightInd/>
        <w:spacing w:line="360" w:lineRule="auto"/>
        <w:ind w:firstLine="420"/>
        <w:textAlignment w:val="auto"/>
        <w:rPr>
          <w:rFonts w:ascii="Times New Roman" w:hAnsi="Times New Roman" w:eastAsia="宋体" w:cs="Times New Roman"/>
          <w:color w:val="auto"/>
          <w:kern w:val="0"/>
          <w:szCs w:val="21"/>
          <w:shd w:val="clear" w:color="auto" w:fill="FFFFFF"/>
        </w:rPr>
      </w:pPr>
      <w:r>
        <w:rPr>
          <w:rFonts w:hint="eastAsia" w:ascii="Times New Roman" w:hAnsi="Times New Roman" w:eastAsia="宋体" w:cs="Times New Roman"/>
          <w:color w:val="auto"/>
          <w:kern w:val="0"/>
          <w:szCs w:val="21"/>
          <w:shd w:val="clear" w:color="auto" w:fill="FFFFFF"/>
        </w:rPr>
        <w:t>联系人：朱女士、任女士</w:t>
      </w:r>
    </w:p>
    <w:p w14:paraId="59DEBADD">
      <w:pPr>
        <w:keepNext w:val="0"/>
        <w:keepLines w:val="0"/>
        <w:pageBreakBefore w:val="0"/>
        <w:widowControl/>
        <w:kinsoku/>
        <w:wordWrap/>
        <w:overflowPunct/>
        <w:topLinePunct w:val="0"/>
        <w:autoSpaceDE/>
        <w:autoSpaceDN/>
        <w:bidi w:val="0"/>
        <w:adjustRightInd/>
        <w:spacing w:line="360" w:lineRule="auto"/>
        <w:ind w:firstLine="420"/>
        <w:textAlignment w:val="auto"/>
        <w:rPr>
          <w:rFonts w:ascii="Times New Roman" w:hAnsi="Times New Roman" w:eastAsia="宋体" w:cs="Times New Roman"/>
          <w:color w:val="auto"/>
          <w:kern w:val="0"/>
          <w:szCs w:val="21"/>
          <w:shd w:val="clear" w:color="auto" w:fill="FFFFFF"/>
        </w:rPr>
      </w:pPr>
      <w:r>
        <w:rPr>
          <w:rFonts w:hint="eastAsia" w:ascii="Times New Roman" w:hAnsi="Times New Roman" w:eastAsia="宋体" w:cs="Times New Roman"/>
          <w:color w:val="auto"/>
          <w:kern w:val="0"/>
          <w:szCs w:val="21"/>
          <w:shd w:val="clear" w:color="auto" w:fill="FFFFFF"/>
        </w:rPr>
        <w:t>联系电话：</w:t>
      </w:r>
      <w:r>
        <w:rPr>
          <w:rFonts w:ascii="Times New Roman" w:hAnsi="Times New Roman" w:eastAsia="宋体" w:cs="Times New Roman"/>
          <w:color w:val="auto"/>
          <w:kern w:val="0"/>
          <w:szCs w:val="21"/>
          <w:shd w:val="clear" w:color="auto" w:fill="FFFFFF"/>
        </w:rPr>
        <w:t>0580-2054476</w:t>
      </w:r>
      <w:r>
        <w:rPr>
          <w:rFonts w:hint="eastAsia" w:ascii="Times New Roman" w:hAnsi="Times New Roman" w:eastAsia="宋体" w:cs="Times New Roman"/>
          <w:color w:val="auto"/>
          <w:kern w:val="0"/>
          <w:szCs w:val="21"/>
          <w:shd w:val="clear" w:color="auto" w:fill="FFFFFF"/>
        </w:rPr>
        <w:t>，</w:t>
      </w:r>
      <w:r>
        <w:rPr>
          <w:rFonts w:ascii="Times New Roman" w:hAnsi="Times New Roman" w:eastAsia="宋体" w:cs="Times New Roman"/>
          <w:color w:val="auto"/>
          <w:kern w:val="0"/>
          <w:szCs w:val="21"/>
          <w:shd w:val="clear" w:color="auto" w:fill="FFFFFF"/>
        </w:rPr>
        <w:t>13857236444</w:t>
      </w:r>
      <w:r>
        <w:rPr>
          <w:rFonts w:hint="eastAsia" w:ascii="Times New Roman" w:hAnsi="Times New Roman" w:eastAsia="宋体" w:cs="Times New Roman"/>
          <w:color w:val="auto"/>
          <w:kern w:val="0"/>
          <w:szCs w:val="21"/>
          <w:shd w:val="clear" w:color="auto" w:fill="FFFFFF"/>
        </w:rPr>
        <w:t>，</w:t>
      </w:r>
      <w:r>
        <w:rPr>
          <w:rFonts w:ascii="Times New Roman" w:hAnsi="Times New Roman" w:eastAsia="宋体" w:cs="Times New Roman"/>
          <w:color w:val="auto"/>
          <w:kern w:val="0"/>
          <w:szCs w:val="21"/>
          <w:shd w:val="clear" w:color="auto" w:fill="FFFFFF"/>
        </w:rPr>
        <w:t>13567673203</w:t>
      </w:r>
    </w:p>
    <w:p w14:paraId="4571C000">
      <w:pPr>
        <w:keepNext w:val="0"/>
        <w:keepLines w:val="0"/>
        <w:pageBreakBefore w:val="0"/>
        <w:widowControl/>
        <w:kinsoku/>
        <w:wordWrap/>
        <w:overflowPunct/>
        <w:topLinePunct w:val="0"/>
        <w:autoSpaceDE/>
        <w:autoSpaceDN/>
        <w:bidi w:val="0"/>
        <w:adjustRightInd/>
        <w:spacing w:line="360" w:lineRule="auto"/>
        <w:ind w:firstLine="420"/>
        <w:textAlignment w:val="auto"/>
        <w:rPr>
          <w:rFonts w:ascii="Times New Roman" w:hAnsi="Times New Roman" w:eastAsia="宋体" w:cs="Times New Roman"/>
          <w:color w:val="auto"/>
          <w:kern w:val="0"/>
          <w:szCs w:val="21"/>
          <w:shd w:val="clear" w:color="auto" w:fill="FFFFFF"/>
        </w:rPr>
      </w:pPr>
      <w:r>
        <w:rPr>
          <w:rFonts w:hint="eastAsia" w:ascii="Times New Roman" w:hAnsi="Times New Roman" w:eastAsia="宋体" w:cs="Times New Roman"/>
          <w:color w:val="auto"/>
          <w:kern w:val="0"/>
          <w:szCs w:val="21"/>
          <w:shd w:val="clear" w:color="auto" w:fill="FFFFFF"/>
        </w:rPr>
        <w:t>质疑答复联系人：王女士</w:t>
      </w:r>
    </w:p>
    <w:p w14:paraId="1B74DDA6">
      <w:pPr>
        <w:keepNext w:val="0"/>
        <w:keepLines w:val="0"/>
        <w:pageBreakBefore w:val="0"/>
        <w:widowControl/>
        <w:kinsoku/>
        <w:wordWrap/>
        <w:overflowPunct/>
        <w:topLinePunct w:val="0"/>
        <w:autoSpaceDE/>
        <w:autoSpaceDN/>
        <w:bidi w:val="0"/>
        <w:adjustRightInd/>
        <w:spacing w:line="360" w:lineRule="auto"/>
        <w:ind w:firstLine="420"/>
        <w:textAlignment w:val="auto"/>
        <w:rPr>
          <w:rFonts w:ascii="Times New Roman" w:hAnsi="Times New Roman" w:eastAsia="宋体" w:cs="Times New Roman"/>
          <w:color w:val="auto"/>
          <w:kern w:val="0"/>
          <w:szCs w:val="21"/>
          <w:shd w:val="clear" w:color="auto" w:fill="FFFFFF"/>
        </w:rPr>
      </w:pPr>
      <w:r>
        <w:rPr>
          <w:rFonts w:hint="eastAsia" w:ascii="Times New Roman" w:hAnsi="Times New Roman" w:eastAsia="宋体" w:cs="Times New Roman"/>
          <w:color w:val="auto"/>
          <w:kern w:val="0"/>
          <w:szCs w:val="21"/>
          <w:shd w:val="clear" w:color="auto" w:fill="FFFFFF"/>
        </w:rPr>
        <w:t>联系电话：</w:t>
      </w:r>
      <w:r>
        <w:rPr>
          <w:rFonts w:ascii="Times New Roman" w:hAnsi="Times New Roman" w:eastAsia="宋体" w:cs="Times New Roman"/>
          <w:color w:val="auto"/>
          <w:kern w:val="0"/>
          <w:szCs w:val="21"/>
          <w:shd w:val="clear" w:color="auto" w:fill="FFFFFF"/>
        </w:rPr>
        <w:t>0580-2054476</w:t>
      </w:r>
      <w:r>
        <w:rPr>
          <w:rFonts w:hint="eastAsia" w:ascii="Times New Roman" w:hAnsi="Times New Roman" w:eastAsia="宋体" w:cs="Times New Roman"/>
          <w:color w:val="auto"/>
          <w:kern w:val="0"/>
          <w:szCs w:val="21"/>
          <w:shd w:val="clear" w:color="auto" w:fill="FFFFFF"/>
        </w:rPr>
        <w:t>，</w:t>
      </w:r>
      <w:r>
        <w:rPr>
          <w:rFonts w:ascii="Times New Roman" w:hAnsi="Times New Roman" w:eastAsia="宋体" w:cs="Times New Roman"/>
          <w:color w:val="auto"/>
          <w:kern w:val="0"/>
          <w:szCs w:val="21"/>
          <w:shd w:val="clear" w:color="auto" w:fill="FFFFFF"/>
        </w:rPr>
        <w:t>13587045176</w:t>
      </w:r>
    </w:p>
    <w:p w14:paraId="1B6CC429">
      <w:pPr>
        <w:keepNext w:val="0"/>
        <w:keepLines w:val="0"/>
        <w:pageBreakBefore w:val="0"/>
        <w:widowControl/>
        <w:kinsoku/>
        <w:wordWrap/>
        <w:overflowPunct/>
        <w:topLinePunct w:val="0"/>
        <w:autoSpaceDE/>
        <w:autoSpaceDN/>
        <w:bidi w:val="0"/>
        <w:adjustRightInd/>
        <w:spacing w:line="360" w:lineRule="auto"/>
        <w:ind w:firstLine="420"/>
        <w:textAlignment w:val="auto"/>
        <w:rPr>
          <w:rFonts w:ascii="Times New Roman" w:hAnsi="Times New Roman" w:eastAsia="宋体" w:cs="Times New Roman"/>
          <w:color w:val="auto"/>
          <w:kern w:val="0"/>
          <w:szCs w:val="21"/>
          <w:shd w:val="clear" w:color="auto" w:fill="FFFFFF"/>
        </w:rPr>
      </w:pPr>
      <w:r>
        <w:rPr>
          <w:rFonts w:hint="eastAsia" w:ascii="Times New Roman" w:hAnsi="Times New Roman" w:eastAsia="宋体" w:cs="Times New Roman"/>
          <w:color w:val="auto"/>
          <w:kern w:val="0"/>
          <w:szCs w:val="21"/>
          <w:shd w:val="clear" w:color="auto" w:fill="FFFFFF"/>
        </w:rPr>
        <w:t>传真：</w:t>
      </w:r>
      <w:r>
        <w:rPr>
          <w:rFonts w:ascii="Times New Roman" w:hAnsi="Times New Roman" w:eastAsia="宋体" w:cs="Times New Roman"/>
          <w:color w:val="auto"/>
          <w:kern w:val="0"/>
          <w:szCs w:val="21"/>
          <w:shd w:val="clear" w:color="auto" w:fill="FFFFFF"/>
        </w:rPr>
        <w:t>0580-2054476</w:t>
      </w:r>
    </w:p>
    <w:p w14:paraId="454804D0">
      <w:pPr>
        <w:keepNext w:val="0"/>
        <w:keepLines w:val="0"/>
        <w:pageBreakBefore w:val="0"/>
        <w:widowControl/>
        <w:kinsoku/>
        <w:wordWrap/>
        <w:overflowPunct/>
        <w:topLinePunct w:val="0"/>
        <w:autoSpaceDE/>
        <w:autoSpaceDN/>
        <w:bidi w:val="0"/>
        <w:adjustRightInd/>
        <w:spacing w:line="360" w:lineRule="auto"/>
        <w:ind w:firstLine="420"/>
        <w:textAlignment w:val="auto"/>
        <w:rPr>
          <w:rFonts w:ascii="Times New Roman" w:hAnsi="Times New Roman" w:eastAsia="宋体" w:cs="Times New Roman"/>
          <w:color w:val="auto"/>
          <w:kern w:val="0"/>
          <w:szCs w:val="21"/>
          <w:shd w:val="clear" w:color="auto" w:fill="FFFFFF"/>
        </w:rPr>
      </w:pPr>
      <w:r>
        <w:rPr>
          <w:rFonts w:hint="eastAsia" w:ascii="Times New Roman" w:hAnsi="Times New Roman" w:eastAsia="宋体" w:cs="Times New Roman"/>
          <w:color w:val="auto"/>
          <w:kern w:val="0"/>
          <w:szCs w:val="21"/>
          <w:shd w:val="clear" w:color="auto" w:fill="FFFFFF"/>
        </w:rPr>
        <w:t>地址：舟山市定海区昌国路</w:t>
      </w:r>
      <w:r>
        <w:rPr>
          <w:rFonts w:ascii="Times New Roman" w:hAnsi="Times New Roman" w:eastAsia="宋体" w:cs="Times New Roman"/>
          <w:color w:val="auto"/>
          <w:kern w:val="0"/>
          <w:szCs w:val="21"/>
          <w:shd w:val="clear" w:color="auto" w:fill="FFFFFF"/>
        </w:rPr>
        <w:t>232</w:t>
      </w:r>
      <w:r>
        <w:rPr>
          <w:rFonts w:hint="eastAsia" w:ascii="Times New Roman" w:hAnsi="Times New Roman" w:eastAsia="宋体" w:cs="Times New Roman"/>
          <w:color w:val="auto"/>
          <w:kern w:val="0"/>
          <w:szCs w:val="21"/>
          <w:shd w:val="clear" w:color="auto" w:fill="FFFFFF"/>
        </w:rPr>
        <w:t>号中楼</w:t>
      </w:r>
      <w:r>
        <w:rPr>
          <w:rFonts w:ascii="Times New Roman" w:hAnsi="Times New Roman" w:eastAsia="宋体" w:cs="Times New Roman"/>
          <w:color w:val="auto"/>
          <w:kern w:val="0"/>
          <w:szCs w:val="21"/>
          <w:shd w:val="clear" w:color="auto" w:fill="FFFFFF"/>
        </w:rPr>
        <w:t>202</w:t>
      </w:r>
    </w:p>
    <w:p w14:paraId="0C5C10A9">
      <w:pPr>
        <w:keepNext w:val="0"/>
        <w:keepLines w:val="0"/>
        <w:pageBreakBefore w:val="0"/>
        <w:widowControl/>
        <w:kinsoku/>
        <w:wordWrap/>
        <w:overflowPunct/>
        <w:topLinePunct w:val="0"/>
        <w:autoSpaceDE/>
        <w:autoSpaceDN/>
        <w:bidi w:val="0"/>
        <w:adjustRightInd/>
        <w:snapToGrid/>
        <w:spacing w:line="360" w:lineRule="auto"/>
        <w:ind w:firstLine="420"/>
        <w:textAlignment w:val="auto"/>
        <w:rPr>
          <w:rFonts w:hint="eastAsia" w:ascii="Times New Roman" w:hAnsi="Times New Roman" w:eastAsia="宋体" w:cs="Times New Roman"/>
          <w:color w:val="auto"/>
          <w:kern w:val="0"/>
          <w:szCs w:val="21"/>
          <w:highlight w:val="none"/>
          <w:shd w:val="clear" w:color="auto" w:fill="FFFFFF"/>
          <w:lang w:eastAsia="zh-CN"/>
        </w:rPr>
      </w:pPr>
      <w:r>
        <w:rPr>
          <w:rFonts w:hint="eastAsia" w:ascii="宋体" w:hAnsi="宋体" w:eastAsia="宋体" w:cs="Times New Roman"/>
          <w:color w:val="auto"/>
          <w:szCs w:val="21"/>
          <w:highlight w:val="none"/>
          <w:shd w:val="clear" w:color="auto" w:fill="FFFFFF"/>
        </w:rPr>
        <w:t>2</w:t>
      </w:r>
      <w:r>
        <w:rPr>
          <w:rFonts w:hint="eastAsia" w:ascii="Times New Roman" w:hAnsi="Times New Roman" w:eastAsia="宋体" w:cs="Times New Roman"/>
          <w:color w:val="auto"/>
          <w:kern w:val="0"/>
          <w:szCs w:val="21"/>
          <w:highlight w:val="none"/>
          <w:shd w:val="clear" w:color="auto" w:fill="FFFFFF"/>
        </w:rPr>
        <w:t>.采购人：</w:t>
      </w:r>
      <w:r>
        <w:rPr>
          <w:rFonts w:hint="eastAsia" w:ascii="Times New Roman" w:hAnsi="Times New Roman" w:eastAsia="宋体" w:cs="Times New Roman"/>
          <w:color w:val="auto"/>
          <w:kern w:val="0"/>
          <w:szCs w:val="21"/>
          <w:highlight w:val="none"/>
          <w:shd w:val="clear" w:color="auto" w:fill="FFFFFF"/>
          <w:lang w:eastAsia="zh-CN"/>
        </w:rPr>
        <w:t>舟山市生态环境局</w:t>
      </w:r>
    </w:p>
    <w:p w14:paraId="525CE0F2">
      <w:pPr>
        <w:keepNext w:val="0"/>
        <w:keepLines w:val="0"/>
        <w:pageBreakBefore w:val="0"/>
        <w:kinsoku/>
        <w:wordWrap/>
        <w:overflowPunct/>
        <w:topLinePunct w:val="0"/>
        <w:autoSpaceDE/>
        <w:autoSpaceDN/>
        <w:bidi w:val="0"/>
        <w:adjustRightInd/>
        <w:snapToGrid/>
        <w:spacing w:line="360" w:lineRule="auto"/>
        <w:ind w:firstLine="472" w:firstLineChars="225"/>
        <w:textAlignment w:val="auto"/>
        <w:rPr>
          <w:rFonts w:hint="eastAsia" w:ascii="Times New Roman" w:hAnsi="Times New Roman" w:eastAsia="宋体" w:cs="Times New Roman"/>
          <w:color w:val="auto"/>
          <w:kern w:val="0"/>
          <w:szCs w:val="21"/>
          <w:highlight w:val="none"/>
          <w:shd w:val="clear" w:color="auto" w:fill="FFFFFF"/>
          <w:lang w:eastAsia="zh-CN"/>
        </w:rPr>
      </w:pPr>
      <w:r>
        <w:rPr>
          <w:rFonts w:hint="eastAsia" w:ascii="Times New Roman" w:hAnsi="Times New Roman" w:eastAsia="宋体" w:cs="Times New Roman"/>
          <w:color w:val="auto"/>
          <w:kern w:val="0"/>
          <w:szCs w:val="21"/>
          <w:highlight w:val="none"/>
          <w:shd w:val="clear" w:color="auto" w:fill="FFFFFF"/>
        </w:rPr>
        <w:t>联系人：</w:t>
      </w:r>
      <w:r>
        <w:rPr>
          <w:rFonts w:hint="eastAsia" w:ascii="Times New Roman" w:hAnsi="Times New Roman" w:eastAsia="宋体" w:cs="Times New Roman"/>
          <w:color w:val="auto"/>
          <w:kern w:val="0"/>
          <w:szCs w:val="21"/>
          <w:highlight w:val="none"/>
          <w:shd w:val="clear" w:color="auto" w:fill="FFFFFF"/>
          <w:lang w:val="en-US" w:eastAsia="zh-CN"/>
        </w:rPr>
        <w:t>王先生</w:t>
      </w:r>
    </w:p>
    <w:p w14:paraId="7584F57D">
      <w:pPr>
        <w:keepNext w:val="0"/>
        <w:keepLines w:val="0"/>
        <w:pageBreakBefore w:val="0"/>
        <w:kinsoku/>
        <w:wordWrap/>
        <w:overflowPunct/>
        <w:topLinePunct w:val="0"/>
        <w:autoSpaceDE/>
        <w:autoSpaceDN/>
        <w:bidi w:val="0"/>
        <w:adjustRightInd/>
        <w:snapToGrid/>
        <w:spacing w:line="360" w:lineRule="auto"/>
        <w:ind w:firstLine="472" w:firstLineChars="225"/>
        <w:textAlignment w:val="auto"/>
        <w:rPr>
          <w:rFonts w:hint="default" w:ascii="Times New Roman" w:hAnsi="Times New Roman" w:eastAsia="宋体" w:cs="Times New Roman"/>
          <w:color w:val="auto"/>
          <w:kern w:val="0"/>
          <w:szCs w:val="21"/>
          <w:highlight w:val="none"/>
          <w:shd w:val="clear" w:color="auto" w:fill="FFFFFF"/>
          <w:lang w:val="en-US" w:eastAsia="zh-CN"/>
        </w:rPr>
      </w:pPr>
      <w:r>
        <w:rPr>
          <w:rFonts w:hint="eastAsia" w:ascii="Times New Roman" w:hAnsi="Times New Roman" w:eastAsia="宋体" w:cs="Times New Roman"/>
          <w:color w:val="auto"/>
          <w:kern w:val="0"/>
          <w:szCs w:val="21"/>
          <w:highlight w:val="none"/>
          <w:shd w:val="clear" w:color="auto" w:fill="FFFFFF"/>
        </w:rPr>
        <w:t>联系电话：</w:t>
      </w:r>
      <w:r>
        <w:rPr>
          <w:rFonts w:hint="eastAsia" w:ascii="Times New Roman" w:hAnsi="Times New Roman" w:eastAsia="宋体" w:cs="Times New Roman"/>
          <w:color w:val="auto"/>
          <w:kern w:val="0"/>
          <w:szCs w:val="21"/>
          <w:highlight w:val="none"/>
          <w:shd w:val="clear" w:color="auto" w:fill="FFFFFF"/>
          <w:lang w:val="en-US" w:eastAsia="zh-CN"/>
        </w:rPr>
        <w:t>0580-2036237</w:t>
      </w:r>
    </w:p>
    <w:p w14:paraId="04556DDE">
      <w:pPr>
        <w:keepNext w:val="0"/>
        <w:keepLines w:val="0"/>
        <w:pageBreakBefore w:val="0"/>
        <w:kinsoku/>
        <w:wordWrap/>
        <w:overflowPunct/>
        <w:topLinePunct w:val="0"/>
        <w:autoSpaceDE/>
        <w:autoSpaceDN/>
        <w:bidi w:val="0"/>
        <w:adjustRightInd/>
        <w:snapToGrid/>
        <w:spacing w:line="360" w:lineRule="auto"/>
        <w:ind w:firstLine="472" w:firstLineChars="225"/>
        <w:textAlignment w:val="auto"/>
        <w:rPr>
          <w:rFonts w:ascii="Times New Roman" w:hAnsi="Times New Roman" w:eastAsia="宋体" w:cs="Times New Roman"/>
          <w:color w:val="auto"/>
          <w:kern w:val="0"/>
          <w:szCs w:val="21"/>
          <w:highlight w:val="none"/>
          <w:shd w:val="clear" w:color="auto" w:fill="FFFFFF"/>
        </w:rPr>
      </w:pPr>
      <w:r>
        <w:rPr>
          <w:rFonts w:hint="eastAsia" w:ascii="Times New Roman" w:hAnsi="Times New Roman" w:eastAsia="宋体" w:cs="Times New Roman"/>
          <w:color w:val="auto"/>
          <w:kern w:val="0"/>
          <w:szCs w:val="21"/>
          <w:highlight w:val="none"/>
          <w:shd w:val="clear" w:color="auto" w:fill="FFFFFF"/>
        </w:rPr>
        <w:t>质疑答复联系人：</w:t>
      </w:r>
      <w:r>
        <w:rPr>
          <w:rFonts w:hint="eastAsia" w:ascii="Times New Roman" w:hAnsi="Times New Roman" w:eastAsia="宋体" w:cs="Times New Roman"/>
          <w:color w:val="auto"/>
          <w:kern w:val="0"/>
          <w:szCs w:val="21"/>
          <w:highlight w:val="none"/>
          <w:shd w:val="clear" w:color="auto" w:fill="FFFFFF"/>
          <w:lang w:val="en-US" w:eastAsia="zh-CN"/>
        </w:rPr>
        <w:t>蒋先生</w:t>
      </w:r>
    </w:p>
    <w:p w14:paraId="3178F1BB">
      <w:pPr>
        <w:keepNext w:val="0"/>
        <w:keepLines w:val="0"/>
        <w:pageBreakBefore w:val="0"/>
        <w:kinsoku/>
        <w:wordWrap/>
        <w:overflowPunct/>
        <w:topLinePunct w:val="0"/>
        <w:autoSpaceDE/>
        <w:autoSpaceDN/>
        <w:bidi w:val="0"/>
        <w:adjustRightInd/>
        <w:snapToGrid/>
        <w:spacing w:line="360" w:lineRule="auto"/>
        <w:ind w:firstLine="472" w:firstLineChars="225"/>
        <w:textAlignment w:val="auto"/>
        <w:rPr>
          <w:rFonts w:hint="default" w:ascii="Times New Roman" w:hAnsi="Times New Roman" w:eastAsia="宋体" w:cs="Times New Roman"/>
          <w:color w:val="auto"/>
          <w:kern w:val="0"/>
          <w:szCs w:val="21"/>
          <w:highlight w:val="none"/>
          <w:shd w:val="clear" w:color="auto" w:fill="FFFFFF"/>
          <w:lang w:val="en-US"/>
        </w:rPr>
      </w:pPr>
      <w:r>
        <w:rPr>
          <w:rFonts w:hint="eastAsia" w:ascii="Times New Roman" w:hAnsi="Times New Roman" w:eastAsia="宋体" w:cs="Times New Roman"/>
          <w:color w:val="auto"/>
          <w:kern w:val="0"/>
          <w:szCs w:val="21"/>
          <w:highlight w:val="none"/>
          <w:shd w:val="clear" w:color="auto" w:fill="FFFFFF"/>
        </w:rPr>
        <w:t>联系电话：</w:t>
      </w:r>
      <w:r>
        <w:rPr>
          <w:rFonts w:hint="eastAsia" w:ascii="Times New Roman" w:hAnsi="Times New Roman" w:eastAsia="宋体" w:cs="Times New Roman"/>
          <w:color w:val="auto"/>
          <w:kern w:val="0"/>
          <w:szCs w:val="21"/>
          <w:highlight w:val="none"/>
          <w:shd w:val="clear" w:color="auto" w:fill="FFFFFF"/>
          <w:lang w:val="en-US" w:eastAsia="zh-CN"/>
        </w:rPr>
        <w:t>0580-2032739</w:t>
      </w:r>
    </w:p>
    <w:p w14:paraId="04BA854B">
      <w:pPr>
        <w:keepNext w:val="0"/>
        <w:keepLines w:val="0"/>
        <w:pageBreakBefore w:val="0"/>
        <w:kinsoku/>
        <w:wordWrap/>
        <w:overflowPunct/>
        <w:topLinePunct w:val="0"/>
        <w:autoSpaceDE/>
        <w:autoSpaceDN/>
        <w:bidi w:val="0"/>
        <w:adjustRightInd/>
        <w:snapToGrid/>
        <w:spacing w:line="360" w:lineRule="auto"/>
        <w:ind w:firstLine="472" w:firstLineChars="225"/>
        <w:textAlignment w:val="auto"/>
        <w:rPr>
          <w:rFonts w:hint="eastAsia" w:ascii="宋体" w:hAnsi="宋体" w:eastAsia="宋体"/>
          <w:color w:val="auto"/>
          <w:szCs w:val="21"/>
        </w:rPr>
      </w:pPr>
      <w:r>
        <w:rPr>
          <w:rFonts w:hint="eastAsia" w:ascii="宋体" w:hAnsi="宋体" w:eastAsia="宋体" w:cs="Times New Roman"/>
          <w:color w:val="auto"/>
          <w:szCs w:val="21"/>
          <w:highlight w:val="none"/>
        </w:rPr>
        <w:t>地址：</w:t>
      </w:r>
      <w:r>
        <w:rPr>
          <w:rFonts w:hint="eastAsia" w:ascii="宋体" w:hAnsi="宋体" w:eastAsia="宋体" w:cs="Times New Roman"/>
          <w:color w:val="auto"/>
          <w:szCs w:val="21"/>
          <w:highlight w:val="none"/>
          <w:shd w:val="clear" w:color="auto" w:fill="FFFFFF"/>
        </w:rPr>
        <w:t>舟山市定海区新城海天大道681号市行政中心东2号楼</w:t>
      </w:r>
    </w:p>
    <w:p w14:paraId="10E72A9D">
      <w:pPr>
        <w:keepNext w:val="0"/>
        <w:keepLines w:val="0"/>
        <w:pageBreakBefore w:val="0"/>
        <w:kinsoku/>
        <w:wordWrap/>
        <w:overflowPunct/>
        <w:topLinePunct w:val="0"/>
        <w:autoSpaceDE/>
        <w:autoSpaceDN/>
        <w:bidi w:val="0"/>
        <w:adjustRightInd/>
        <w:spacing w:line="360" w:lineRule="auto"/>
        <w:ind w:firstLine="472" w:firstLineChars="225"/>
        <w:textAlignment w:val="auto"/>
        <w:rPr>
          <w:rFonts w:hint="eastAsia" w:ascii="宋体" w:hAnsi="宋体" w:eastAsia="宋体"/>
          <w:color w:val="auto"/>
          <w:szCs w:val="21"/>
        </w:rPr>
      </w:pPr>
      <w:r>
        <w:rPr>
          <w:rFonts w:hint="eastAsia" w:ascii="宋体" w:hAnsi="宋体" w:eastAsia="宋体"/>
          <w:color w:val="auto"/>
          <w:szCs w:val="21"/>
        </w:rPr>
        <w:t>3.同级政府采购监督管理部门名称：</w:t>
      </w:r>
      <w:r>
        <w:rPr>
          <w:rFonts w:hint="eastAsia" w:ascii="宋体" w:hAnsi="宋体" w:eastAsia="宋体" w:cs="宋体"/>
          <w:color w:val="auto"/>
          <w:szCs w:val="21"/>
        </w:rPr>
        <w:t>舟山市财政局（政府采购监管处）</w:t>
      </w:r>
    </w:p>
    <w:p w14:paraId="668FD98A">
      <w:pPr>
        <w:keepNext w:val="0"/>
        <w:keepLines w:val="0"/>
        <w:pageBreakBefore w:val="0"/>
        <w:kinsoku/>
        <w:wordWrap/>
        <w:overflowPunct/>
        <w:topLinePunct w:val="0"/>
        <w:autoSpaceDE/>
        <w:autoSpaceDN/>
        <w:bidi w:val="0"/>
        <w:adjustRightInd/>
        <w:spacing w:line="360" w:lineRule="auto"/>
        <w:ind w:firstLine="472" w:firstLineChars="225"/>
        <w:textAlignment w:val="auto"/>
        <w:rPr>
          <w:rFonts w:hint="eastAsia" w:ascii="宋体" w:hAnsi="宋体" w:eastAsia="宋体" w:cs="宋体"/>
          <w:color w:val="auto"/>
          <w:kern w:val="0"/>
          <w:szCs w:val="21"/>
        </w:rPr>
      </w:pPr>
      <w:r>
        <w:rPr>
          <w:rFonts w:hint="eastAsia" w:ascii="宋体" w:hAnsi="宋体" w:eastAsia="宋体"/>
          <w:color w:val="auto"/>
          <w:szCs w:val="21"/>
        </w:rPr>
        <w:t>监督投诉电话：</w:t>
      </w:r>
      <w:r>
        <w:rPr>
          <w:rFonts w:hint="eastAsia" w:ascii="宋体" w:hAnsi="宋体" w:eastAsia="宋体" w:cs="宋体"/>
          <w:color w:val="auto"/>
          <w:kern w:val="0"/>
          <w:szCs w:val="21"/>
        </w:rPr>
        <w:t>0580-2282591</w:t>
      </w:r>
    </w:p>
    <w:p w14:paraId="4283C831">
      <w:pPr>
        <w:pStyle w:val="2"/>
        <w:rPr>
          <w:color w:val="auto"/>
        </w:rPr>
      </w:pPr>
    </w:p>
    <w:p w14:paraId="2F1E7CD3">
      <w:pPr>
        <w:pageBreakBefore w:val="0"/>
        <w:numPr>
          <w:ilvl w:val="0"/>
          <w:numId w:val="8"/>
        </w:numPr>
        <w:kinsoku/>
        <w:wordWrap/>
        <w:overflowPunct/>
        <w:topLinePunct w:val="0"/>
        <w:bidi w:val="0"/>
        <w:snapToGrid w:val="0"/>
        <w:spacing w:line="320" w:lineRule="exact"/>
        <w:jc w:val="center"/>
        <w:rPr>
          <w:rFonts w:ascii="Times New Roman" w:hAnsi="Times New Roman" w:eastAsia="宋体" w:cs="Times New Roman"/>
          <w:b/>
          <w:color w:val="auto"/>
          <w:sz w:val="30"/>
        </w:rPr>
      </w:pPr>
      <w:r>
        <w:rPr>
          <w:rFonts w:hint="eastAsia" w:ascii="Times New Roman" w:hAnsi="Times New Roman" w:eastAsia="宋体" w:cs="Times New Roman"/>
          <w:b/>
          <w:color w:val="auto"/>
          <w:sz w:val="30"/>
        </w:rPr>
        <w:t xml:space="preserve"> 招标需求</w:t>
      </w:r>
    </w:p>
    <w:p w14:paraId="358D9A20">
      <w:pPr>
        <w:pageBreakBefore w:val="0"/>
        <w:kinsoku/>
        <w:wordWrap/>
        <w:overflowPunct/>
        <w:topLinePunct w:val="0"/>
        <w:bidi w:val="0"/>
        <w:spacing w:line="320" w:lineRule="exact"/>
        <w:outlineLvl w:val="0"/>
        <w:rPr>
          <w:rFonts w:ascii="Times New Roman" w:hAnsi="Times New Roman" w:eastAsia="宋体" w:cs="Times New Roman"/>
          <w:b/>
          <w:color w:val="auto"/>
          <w:sz w:val="24"/>
        </w:rPr>
      </w:pPr>
    </w:p>
    <w:p w14:paraId="7D5DBD23">
      <w:pPr>
        <w:pageBreakBefore w:val="0"/>
        <w:widowControl/>
        <w:kinsoku/>
        <w:wordWrap/>
        <w:overflowPunct/>
        <w:topLinePunct w:val="0"/>
        <w:bidi w:val="0"/>
        <w:spacing w:line="320" w:lineRule="exact"/>
        <w:rPr>
          <w:rFonts w:hint="eastAsia" w:eastAsia="宋体"/>
          <w:color w:val="auto"/>
        </w:rPr>
      </w:pPr>
      <w:r>
        <w:rPr>
          <w:rFonts w:hint="eastAsia" w:eastAsia="宋体"/>
          <w:b/>
          <w:color w:val="auto"/>
          <w:sz w:val="24"/>
        </w:rPr>
        <w:t>一、</w:t>
      </w:r>
      <w:r>
        <w:rPr>
          <w:rFonts w:hint="eastAsia" w:ascii="宋体" w:hAnsi="宋体" w:eastAsia="宋体"/>
          <w:b/>
          <w:bCs/>
          <w:color w:val="auto"/>
          <w:sz w:val="24"/>
        </w:rPr>
        <w:t>采购</w:t>
      </w:r>
      <w:r>
        <w:rPr>
          <w:rFonts w:hint="eastAsia" w:ascii="宋体" w:hAnsi="宋体" w:eastAsia="宋体"/>
          <w:b/>
          <w:bCs/>
          <w:color w:val="auto"/>
          <w:sz w:val="24"/>
          <w:lang w:val="en-US" w:eastAsia="zh-CN"/>
        </w:rPr>
        <w:t>清单</w:t>
      </w:r>
      <w:bookmarkStart w:id="2" w:name="_Hlk172297338"/>
    </w:p>
    <w:tbl>
      <w:tblPr>
        <w:tblStyle w:val="62"/>
        <w:tblW w:w="8715"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4687"/>
        <w:gridCol w:w="1665"/>
        <w:gridCol w:w="1680"/>
      </w:tblGrid>
      <w:tr w14:paraId="160D0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28C1AE7F">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序号</w:t>
            </w:r>
          </w:p>
        </w:tc>
        <w:tc>
          <w:tcPr>
            <w:tcW w:w="4687" w:type="dxa"/>
            <w:vAlign w:val="center"/>
          </w:tcPr>
          <w:p w14:paraId="6FC27B2A">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bCs/>
                <w:color w:val="auto"/>
                <w:sz w:val="21"/>
                <w:szCs w:val="21"/>
                <w:vertAlign w:val="baseline"/>
              </w:rPr>
            </w:pPr>
            <w:r>
              <w:rPr>
                <w:rFonts w:hint="eastAsia" w:ascii="宋体" w:hAnsi="宋体" w:eastAsia="宋体" w:cs="宋体"/>
                <w:color w:val="auto"/>
                <w:sz w:val="21"/>
                <w:szCs w:val="21"/>
              </w:rPr>
              <w:t>仪器名称</w:t>
            </w:r>
          </w:p>
        </w:tc>
        <w:tc>
          <w:tcPr>
            <w:tcW w:w="1665" w:type="dxa"/>
            <w:vAlign w:val="center"/>
          </w:tcPr>
          <w:p w14:paraId="2CA360BC">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数量</w:t>
            </w:r>
          </w:p>
          <w:p w14:paraId="11C1633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（台、套）</w:t>
            </w:r>
          </w:p>
        </w:tc>
        <w:tc>
          <w:tcPr>
            <w:tcW w:w="1680" w:type="dxa"/>
            <w:vAlign w:val="center"/>
          </w:tcPr>
          <w:p w14:paraId="265D7696">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预算金额</w:t>
            </w:r>
          </w:p>
          <w:p w14:paraId="57C79357">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（万元）</w:t>
            </w:r>
          </w:p>
        </w:tc>
      </w:tr>
      <w:tr w14:paraId="63585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83" w:type="dxa"/>
            <w:shd w:val="clear" w:color="auto" w:fill="auto"/>
            <w:vAlign w:val="center"/>
          </w:tcPr>
          <w:p w14:paraId="3F303331">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w:t>
            </w:r>
          </w:p>
        </w:tc>
        <w:tc>
          <w:tcPr>
            <w:tcW w:w="4687" w:type="dxa"/>
            <w:vAlign w:val="center"/>
          </w:tcPr>
          <w:p w14:paraId="4406FF7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盐度计</w:t>
            </w:r>
          </w:p>
        </w:tc>
        <w:tc>
          <w:tcPr>
            <w:tcW w:w="1665" w:type="dxa"/>
            <w:vAlign w:val="center"/>
          </w:tcPr>
          <w:p w14:paraId="1D00361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restart"/>
            <w:vAlign w:val="center"/>
          </w:tcPr>
          <w:p w14:paraId="2ECF0CB7">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497.90</w:t>
            </w:r>
          </w:p>
        </w:tc>
      </w:tr>
      <w:tr w14:paraId="11043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7C1D6315">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4687" w:type="dxa"/>
            <w:vAlign w:val="center"/>
          </w:tcPr>
          <w:p w14:paraId="22860AD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无人机采样模块</w:t>
            </w:r>
          </w:p>
        </w:tc>
        <w:tc>
          <w:tcPr>
            <w:tcW w:w="1665" w:type="dxa"/>
            <w:vAlign w:val="center"/>
          </w:tcPr>
          <w:p w14:paraId="20A356D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4546079B">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2C44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4B421AE1">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4687" w:type="dxa"/>
            <w:vAlign w:val="center"/>
          </w:tcPr>
          <w:p w14:paraId="60EAF6A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凯氏定氮仪自动进样仪</w:t>
            </w:r>
          </w:p>
        </w:tc>
        <w:tc>
          <w:tcPr>
            <w:tcW w:w="1665" w:type="dxa"/>
            <w:vAlign w:val="center"/>
          </w:tcPr>
          <w:p w14:paraId="4A519AE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25FF9CE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5504E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3303E8D5">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4687" w:type="dxa"/>
            <w:vAlign w:val="center"/>
          </w:tcPr>
          <w:p w14:paraId="40D1BEE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振荡器</w:t>
            </w:r>
          </w:p>
        </w:tc>
        <w:tc>
          <w:tcPr>
            <w:tcW w:w="1665" w:type="dxa"/>
            <w:vAlign w:val="center"/>
          </w:tcPr>
          <w:p w14:paraId="5392A66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090D1031">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2706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594BDF9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4687" w:type="dxa"/>
            <w:vAlign w:val="center"/>
          </w:tcPr>
          <w:p w14:paraId="4E33FA2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多参数水质仪</w:t>
            </w:r>
          </w:p>
        </w:tc>
        <w:tc>
          <w:tcPr>
            <w:tcW w:w="1665" w:type="dxa"/>
            <w:vAlign w:val="center"/>
          </w:tcPr>
          <w:p w14:paraId="7C98A88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680" w:type="dxa"/>
            <w:vMerge w:val="continue"/>
            <w:vAlign w:val="center"/>
          </w:tcPr>
          <w:p w14:paraId="71FB6DB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2AD4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83" w:type="dxa"/>
            <w:shd w:val="clear" w:color="auto" w:fill="auto"/>
            <w:vAlign w:val="center"/>
          </w:tcPr>
          <w:p w14:paraId="1E93E8E0">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4687" w:type="dxa"/>
            <w:shd w:val="clear" w:color="auto" w:fill="auto"/>
            <w:vAlign w:val="center"/>
          </w:tcPr>
          <w:p w14:paraId="20D04CB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气象参数测定仪</w:t>
            </w:r>
          </w:p>
        </w:tc>
        <w:tc>
          <w:tcPr>
            <w:tcW w:w="1665" w:type="dxa"/>
            <w:vAlign w:val="center"/>
          </w:tcPr>
          <w:p w14:paraId="2E3C47A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680" w:type="dxa"/>
            <w:vMerge w:val="continue"/>
            <w:vAlign w:val="center"/>
          </w:tcPr>
          <w:p w14:paraId="7013DE5F">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00785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42D0B26">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4687" w:type="dxa"/>
            <w:shd w:val="clear" w:color="auto" w:fill="auto"/>
            <w:vAlign w:val="center"/>
          </w:tcPr>
          <w:p w14:paraId="4080141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智能多通道颗粒物采样器</w:t>
            </w:r>
          </w:p>
        </w:tc>
        <w:tc>
          <w:tcPr>
            <w:tcW w:w="1665" w:type="dxa"/>
            <w:vAlign w:val="center"/>
          </w:tcPr>
          <w:p w14:paraId="526D536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680" w:type="dxa"/>
            <w:vMerge w:val="continue"/>
            <w:vAlign w:val="center"/>
          </w:tcPr>
          <w:p w14:paraId="7749A7DB">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7D58D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0D66A73">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w:t>
            </w:r>
          </w:p>
        </w:tc>
        <w:tc>
          <w:tcPr>
            <w:tcW w:w="4687" w:type="dxa"/>
            <w:shd w:val="clear" w:color="auto" w:fill="auto"/>
            <w:vAlign w:val="center"/>
          </w:tcPr>
          <w:p w14:paraId="5D6A580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小无人机</w:t>
            </w:r>
          </w:p>
        </w:tc>
        <w:tc>
          <w:tcPr>
            <w:tcW w:w="1665" w:type="dxa"/>
            <w:vAlign w:val="center"/>
          </w:tcPr>
          <w:p w14:paraId="12424A9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75C2B881">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625AC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12BFD579">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w:t>
            </w:r>
          </w:p>
        </w:tc>
        <w:tc>
          <w:tcPr>
            <w:tcW w:w="4687" w:type="dxa"/>
            <w:shd w:val="clear" w:color="auto" w:fill="auto"/>
            <w:vAlign w:val="center"/>
          </w:tcPr>
          <w:p w14:paraId="0BD2BD8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热释光测量系统</w:t>
            </w:r>
          </w:p>
        </w:tc>
        <w:tc>
          <w:tcPr>
            <w:tcW w:w="1665" w:type="dxa"/>
            <w:vAlign w:val="center"/>
          </w:tcPr>
          <w:p w14:paraId="5C491CD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5173D7E7">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5C5F2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D29E0A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4687" w:type="dxa"/>
            <w:shd w:val="clear" w:color="auto" w:fill="auto"/>
            <w:vAlign w:val="center"/>
          </w:tcPr>
          <w:p w14:paraId="7D26B36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辐射防护装备</w:t>
            </w:r>
          </w:p>
        </w:tc>
        <w:tc>
          <w:tcPr>
            <w:tcW w:w="1665" w:type="dxa"/>
            <w:vAlign w:val="center"/>
          </w:tcPr>
          <w:p w14:paraId="7E74B37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680" w:type="dxa"/>
            <w:vMerge w:val="continue"/>
            <w:vAlign w:val="center"/>
          </w:tcPr>
          <w:p w14:paraId="564DAF3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049AF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3C6FADA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w:t>
            </w:r>
          </w:p>
        </w:tc>
        <w:tc>
          <w:tcPr>
            <w:tcW w:w="4687" w:type="dxa"/>
            <w:shd w:val="clear" w:color="auto" w:fill="auto"/>
            <w:vAlign w:val="center"/>
          </w:tcPr>
          <w:p w14:paraId="05D448B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离子计</w:t>
            </w:r>
          </w:p>
        </w:tc>
        <w:tc>
          <w:tcPr>
            <w:tcW w:w="1665" w:type="dxa"/>
            <w:vAlign w:val="center"/>
          </w:tcPr>
          <w:p w14:paraId="449449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3C34ECE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72D5F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7E263D36">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4687" w:type="dxa"/>
            <w:shd w:val="clear" w:color="auto" w:fill="auto"/>
            <w:vAlign w:val="center"/>
          </w:tcPr>
          <w:p w14:paraId="544D8DC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测氡仪</w:t>
            </w:r>
          </w:p>
        </w:tc>
        <w:tc>
          <w:tcPr>
            <w:tcW w:w="1665" w:type="dxa"/>
            <w:vAlign w:val="center"/>
          </w:tcPr>
          <w:p w14:paraId="2392D3F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36A398AD">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p>
        </w:tc>
      </w:tr>
      <w:tr w14:paraId="68538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3DC20C6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w:t>
            </w:r>
          </w:p>
        </w:tc>
        <w:tc>
          <w:tcPr>
            <w:tcW w:w="4687" w:type="dxa"/>
            <w:shd w:val="clear" w:color="auto" w:fill="auto"/>
            <w:vAlign w:val="center"/>
          </w:tcPr>
          <w:p w14:paraId="245C8D8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手持式寻源仪</w:t>
            </w:r>
          </w:p>
        </w:tc>
        <w:tc>
          <w:tcPr>
            <w:tcW w:w="1665" w:type="dxa"/>
            <w:vAlign w:val="center"/>
          </w:tcPr>
          <w:p w14:paraId="7D718A3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680" w:type="dxa"/>
            <w:vMerge w:val="continue"/>
            <w:vAlign w:val="center"/>
          </w:tcPr>
          <w:p w14:paraId="4CF2C1F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40040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5FFC87E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w:t>
            </w:r>
          </w:p>
        </w:tc>
        <w:tc>
          <w:tcPr>
            <w:tcW w:w="4687" w:type="dxa"/>
            <w:shd w:val="clear" w:color="auto" w:fill="auto"/>
            <w:vAlign w:val="center"/>
          </w:tcPr>
          <w:p w14:paraId="4610C4E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高速冷冻离心机</w:t>
            </w:r>
          </w:p>
        </w:tc>
        <w:tc>
          <w:tcPr>
            <w:tcW w:w="1665" w:type="dxa"/>
            <w:vAlign w:val="center"/>
          </w:tcPr>
          <w:p w14:paraId="1F5C17D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464E28FD">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7F62F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CC0A78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w:t>
            </w:r>
          </w:p>
        </w:tc>
        <w:tc>
          <w:tcPr>
            <w:tcW w:w="4687" w:type="dxa"/>
            <w:shd w:val="clear" w:color="auto" w:fill="auto"/>
            <w:vAlign w:val="center"/>
          </w:tcPr>
          <w:p w14:paraId="51D3976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氮磷检测器</w:t>
            </w:r>
          </w:p>
        </w:tc>
        <w:tc>
          <w:tcPr>
            <w:tcW w:w="1665" w:type="dxa"/>
            <w:vAlign w:val="center"/>
          </w:tcPr>
          <w:p w14:paraId="201E8E9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7F822094">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1C46C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7B76CA4">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w:t>
            </w:r>
          </w:p>
        </w:tc>
        <w:tc>
          <w:tcPr>
            <w:tcW w:w="4687" w:type="dxa"/>
            <w:shd w:val="clear" w:color="auto" w:fill="auto"/>
            <w:vAlign w:val="center"/>
          </w:tcPr>
          <w:p w14:paraId="338BBAD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烷基汞蒸馏仪</w:t>
            </w:r>
          </w:p>
        </w:tc>
        <w:tc>
          <w:tcPr>
            <w:tcW w:w="1665" w:type="dxa"/>
            <w:vAlign w:val="center"/>
          </w:tcPr>
          <w:p w14:paraId="7F1EE72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76D7A0DD">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700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5F48EEC9">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17</w:t>
            </w:r>
          </w:p>
        </w:tc>
        <w:tc>
          <w:tcPr>
            <w:tcW w:w="4687" w:type="dxa"/>
            <w:shd w:val="clear" w:color="auto" w:fill="auto"/>
            <w:vAlign w:val="center"/>
          </w:tcPr>
          <w:p w14:paraId="66F222D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b/>
                <w:bCs/>
                <w:color w:val="auto"/>
                <w:kern w:val="0"/>
                <w:szCs w:val="21"/>
              </w:rPr>
              <w:t>◆</w:t>
            </w:r>
            <w:r>
              <w:rPr>
                <w:rFonts w:hint="eastAsia" w:ascii="宋体" w:hAnsi="宋体" w:eastAsia="宋体" w:cs="宋体"/>
                <w:color w:val="auto"/>
                <w:sz w:val="21"/>
                <w:szCs w:val="21"/>
                <w:lang w:val="en-US" w:eastAsia="zh-CN"/>
              </w:rPr>
              <w:t>水质监测采样无人船</w:t>
            </w:r>
          </w:p>
        </w:tc>
        <w:tc>
          <w:tcPr>
            <w:tcW w:w="1665" w:type="dxa"/>
            <w:vAlign w:val="center"/>
          </w:tcPr>
          <w:p w14:paraId="50ECB54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2498CB59">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67D1C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17A11EC2">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w:t>
            </w:r>
          </w:p>
        </w:tc>
        <w:tc>
          <w:tcPr>
            <w:tcW w:w="4687" w:type="dxa"/>
            <w:shd w:val="clear" w:color="auto" w:fill="auto"/>
            <w:vAlign w:val="center"/>
          </w:tcPr>
          <w:p w14:paraId="73E81BA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气体流量校准器</w:t>
            </w:r>
          </w:p>
        </w:tc>
        <w:tc>
          <w:tcPr>
            <w:tcW w:w="1665" w:type="dxa"/>
            <w:vAlign w:val="center"/>
          </w:tcPr>
          <w:p w14:paraId="460DD40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680" w:type="dxa"/>
            <w:vMerge w:val="continue"/>
            <w:vAlign w:val="center"/>
          </w:tcPr>
          <w:p w14:paraId="193C77B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5F833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F7FFC7A">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19</w:t>
            </w:r>
          </w:p>
        </w:tc>
        <w:tc>
          <w:tcPr>
            <w:tcW w:w="4687" w:type="dxa"/>
            <w:shd w:val="clear" w:color="auto" w:fill="auto"/>
            <w:vAlign w:val="center"/>
          </w:tcPr>
          <w:p w14:paraId="5A35B49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荧光分光光度计</w:t>
            </w:r>
          </w:p>
        </w:tc>
        <w:tc>
          <w:tcPr>
            <w:tcW w:w="1665" w:type="dxa"/>
            <w:vAlign w:val="center"/>
          </w:tcPr>
          <w:p w14:paraId="44CE758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2666A4CD">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ACA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06D0EE6A">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c>
          <w:tcPr>
            <w:tcW w:w="4687" w:type="dxa"/>
            <w:shd w:val="clear" w:color="auto" w:fill="auto"/>
            <w:vAlign w:val="center"/>
          </w:tcPr>
          <w:p w14:paraId="44A76F2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多光谱小型无人机</w:t>
            </w:r>
          </w:p>
        </w:tc>
        <w:tc>
          <w:tcPr>
            <w:tcW w:w="1665" w:type="dxa"/>
            <w:vAlign w:val="center"/>
          </w:tcPr>
          <w:p w14:paraId="2C1582C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061DA1F6">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6780C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7C3720B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p>
        </w:tc>
        <w:tc>
          <w:tcPr>
            <w:tcW w:w="4687" w:type="dxa"/>
            <w:shd w:val="clear" w:color="auto" w:fill="auto"/>
            <w:vAlign w:val="center"/>
          </w:tcPr>
          <w:p w14:paraId="5160879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台式恒温振荡器</w:t>
            </w:r>
          </w:p>
        </w:tc>
        <w:tc>
          <w:tcPr>
            <w:tcW w:w="1665" w:type="dxa"/>
            <w:vAlign w:val="center"/>
          </w:tcPr>
          <w:p w14:paraId="5EE3ABC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030BD88D">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6B853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47E27613">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w:t>
            </w:r>
          </w:p>
        </w:tc>
        <w:tc>
          <w:tcPr>
            <w:tcW w:w="4687" w:type="dxa"/>
            <w:vAlign w:val="center"/>
          </w:tcPr>
          <w:p w14:paraId="564A31B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危化品安全管理智能设备及系统</w:t>
            </w:r>
          </w:p>
        </w:tc>
        <w:tc>
          <w:tcPr>
            <w:tcW w:w="1665" w:type="dxa"/>
            <w:vAlign w:val="center"/>
          </w:tcPr>
          <w:p w14:paraId="688083C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32B2D95A">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4809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shd w:val="clear" w:color="auto" w:fill="auto"/>
            <w:vAlign w:val="center"/>
          </w:tcPr>
          <w:p w14:paraId="7174F2B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w:t>
            </w:r>
          </w:p>
        </w:tc>
        <w:tc>
          <w:tcPr>
            <w:tcW w:w="4687" w:type="dxa"/>
            <w:vAlign w:val="center"/>
          </w:tcPr>
          <w:p w14:paraId="14CC02E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标准品信息化储存管理系统</w:t>
            </w:r>
          </w:p>
        </w:tc>
        <w:tc>
          <w:tcPr>
            <w:tcW w:w="1665" w:type="dxa"/>
            <w:vAlign w:val="center"/>
          </w:tcPr>
          <w:p w14:paraId="71C5FC7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680" w:type="dxa"/>
            <w:vMerge w:val="continue"/>
            <w:vAlign w:val="center"/>
          </w:tcPr>
          <w:p w14:paraId="3EE07042">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bl>
    <w:p w14:paraId="6900A8AF">
      <w:pPr>
        <w:rPr>
          <w:rFonts w:hint="eastAsia" w:eastAsiaTheme="minorEastAsia"/>
          <w:color w:val="auto"/>
          <w:lang w:val="en-US" w:eastAsia="zh-CN"/>
        </w:rPr>
      </w:pPr>
      <w:r>
        <w:rPr>
          <w:rFonts w:hint="eastAsia"/>
          <w:color w:val="auto"/>
          <w:lang w:val="en-US" w:eastAsia="zh-CN"/>
        </w:rPr>
        <w:t xml:space="preserve"> </w:t>
      </w:r>
    </w:p>
    <w:p w14:paraId="777D869D">
      <w:pPr>
        <w:pageBreakBefore w:val="0"/>
        <w:widowControl/>
        <w:kinsoku/>
        <w:wordWrap/>
        <w:overflowPunct/>
        <w:topLinePunct w:val="0"/>
        <w:bidi w:val="0"/>
        <w:spacing w:line="320" w:lineRule="exact"/>
        <w:ind w:firstLine="422" w:firstLineChars="200"/>
        <w:rPr>
          <w:rFonts w:ascii="Times New Roman" w:hAnsi="Times New Roman" w:eastAsia="宋体"/>
          <w:b/>
          <w:bCs/>
          <w:color w:val="auto"/>
          <w:kern w:val="0"/>
          <w:szCs w:val="21"/>
        </w:rPr>
      </w:pPr>
      <w:r>
        <w:rPr>
          <w:rFonts w:hint="eastAsia" w:ascii="Times New Roman" w:hAnsi="Times New Roman" w:eastAsia="宋体"/>
          <w:b/>
          <w:bCs/>
          <w:color w:val="auto"/>
          <w:kern w:val="0"/>
          <w:szCs w:val="21"/>
        </w:rPr>
        <w:t>打“</w:t>
      </w:r>
      <w:r>
        <w:rPr>
          <w:rFonts w:hint="eastAsia" w:ascii="宋体" w:hAnsi="宋体" w:eastAsia="宋体"/>
          <w:b/>
          <w:bCs/>
          <w:color w:val="auto"/>
          <w:kern w:val="0"/>
          <w:szCs w:val="21"/>
        </w:rPr>
        <w:t>◆</w:t>
      </w:r>
      <w:r>
        <w:rPr>
          <w:rFonts w:hint="eastAsia" w:ascii="Times New Roman" w:hAnsi="Times New Roman" w:eastAsia="宋体"/>
          <w:b/>
          <w:bCs/>
          <w:color w:val="auto"/>
          <w:kern w:val="0"/>
          <w:szCs w:val="21"/>
        </w:rPr>
        <w:t>“为核心产品</w:t>
      </w:r>
    </w:p>
    <w:p w14:paraId="7EFC3642">
      <w:pPr>
        <w:pageBreakBefore w:val="0"/>
        <w:kinsoku/>
        <w:wordWrap/>
        <w:overflowPunct/>
        <w:topLinePunct w:val="0"/>
        <w:bidi w:val="0"/>
        <w:spacing w:line="320" w:lineRule="exact"/>
        <w:outlineLvl w:val="0"/>
        <w:rPr>
          <w:rFonts w:hint="eastAsia" w:ascii="宋体" w:hAnsi="宋体" w:eastAsia="宋体"/>
          <w:b/>
          <w:bCs/>
          <w:color w:val="auto"/>
          <w:sz w:val="24"/>
        </w:rPr>
      </w:pPr>
    </w:p>
    <w:p w14:paraId="1187F3AC">
      <w:pPr>
        <w:pageBreakBefore w:val="0"/>
        <w:kinsoku/>
        <w:wordWrap/>
        <w:overflowPunct/>
        <w:topLinePunct w:val="0"/>
        <w:bidi w:val="0"/>
        <w:spacing w:line="320" w:lineRule="exact"/>
        <w:outlineLvl w:val="0"/>
        <w:rPr>
          <w:rFonts w:hint="eastAsia" w:ascii="宋体" w:hAnsi="宋体" w:eastAsia="宋体"/>
          <w:b/>
          <w:bCs/>
          <w:color w:val="auto"/>
          <w:sz w:val="24"/>
        </w:rPr>
      </w:pPr>
      <w:r>
        <w:rPr>
          <w:rFonts w:hint="eastAsia" w:ascii="宋体" w:hAnsi="宋体" w:eastAsia="宋体"/>
          <w:b/>
          <w:bCs/>
          <w:color w:val="auto"/>
          <w:sz w:val="24"/>
        </w:rPr>
        <w:t>二、技术要求</w:t>
      </w:r>
    </w:p>
    <w:bookmarkEnd w:id="2"/>
    <w:p w14:paraId="1C524E12">
      <w:pPr>
        <w:pStyle w:val="4"/>
        <w:pageBreakBefore w:val="0"/>
        <w:numPr>
          <w:ilvl w:val="0"/>
          <w:numId w:val="0"/>
        </w:numPr>
        <w:kinsoku/>
        <w:wordWrap/>
        <w:overflowPunct/>
        <w:topLinePunct w:val="0"/>
        <w:bidi w:val="0"/>
        <w:snapToGrid/>
        <w:spacing w:beforeLines="0" w:line="320" w:lineRule="exact"/>
        <w:ind w:left="0" w:right="0" w:rightChars="0"/>
        <w:jc w:val="both"/>
        <w:textAlignment w:val="auto"/>
        <w:rPr>
          <w:rFonts w:hint="eastAsia" w:ascii="宋体" w:hAnsi="宋体" w:eastAsia="宋体" w:cs="宋体"/>
          <w:color w:val="auto"/>
          <w:sz w:val="21"/>
          <w:szCs w:val="21"/>
        </w:rPr>
      </w:pPr>
      <w:bookmarkStart w:id="3" w:name="_Hlk181260840"/>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一</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盐度计</w:t>
      </w:r>
    </w:p>
    <w:p w14:paraId="00E90551">
      <w:pPr>
        <w:pageBreakBefore w:val="0"/>
        <w:kinsoku/>
        <w:wordWrap/>
        <w:overflowPunct/>
        <w:topLinePunct w:val="0"/>
        <w:autoSpaceDE w:val="0"/>
        <w:autoSpaceDN w:val="0"/>
        <w:bidi w:val="0"/>
        <w:adjustRightInd w:val="0"/>
        <w:snapToGrid/>
        <w:spacing w:line="320" w:lineRule="exact"/>
        <w:ind w:left="0" w:right="0" w:rightChars="0" w:firstLine="482"/>
        <w:jc w:val="left"/>
        <w:textAlignment w:val="auto"/>
        <w:rPr>
          <w:rFonts w:hint="eastAsia"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1.设备用途</w:t>
      </w:r>
    </w:p>
    <w:p w14:paraId="199C87AE">
      <w:pPr>
        <w:pStyle w:val="26"/>
        <w:pageBreakBefore w:val="0"/>
        <w:kinsoku/>
        <w:wordWrap/>
        <w:overflowPunct/>
        <w:topLinePunct w:val="0"/>
        <w:bidi w:val="0"/>
        <w:snapToGrid/>
        <w:spacing w:after="0" w:line="320" w:lineRule="exact"/>
        <w:ind w:left="0" w:right="0" w:rightChars="0" w:firstLine="420"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kern w:val="0"/>
          <w:sz w:val="21"/>
          <w:szCs w:val="21"/>
          <w:lang w:eastAsia="zh-CN"/>
        </w:rPr>
        <w:t>用于实现海水盐度仲裁法的测定。</w:t>
      </w:r>
    </w:p>
    <w:p w14:paraId="5BB50230">
      <w:pPr>
        <w:pageBreakBefore w:val="0"/>
        <w:kinsoku/>
        <w:wordWrap/>
        <w:overflowPunct/>
        <w:topLinePunct w:val="0"/>
        <w:autoSpaceDE w:val="0"/>
        <w:autoSpaceDN w:val="0"/>
        <w:bidi w:val="0"/>
        <w:adjustRightInd w:val="0"/>
        <w:snapToGrid/>
        <w:spacing w:line="320" w:lineRule="exact"/>
        <w:ind w:left="0" w:right="0" w:rightChars="0" w:firstLine="482"/>
        <w:jc w:val="left"/>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lang w:val="en-US" w:eastAsia="zh-CN"/>
        </w:rPr>
        <w:t>2</w:t>
      </w:r>
      <w:r>
        <w:rPr>
          <w:rFonts w:hint="eastAsia" w:ascii="宋体" w:hAnsi="宋体" w:eastAsia="宋体" w:cs="宋体"/>
          <w:b/>
          <w:bCs/>
          <w:color w:val="auto"/>
          <w:kern w:val="0"/>
          <w:sz w:val="21"/>
          <w:szCs w:val="21"/>
          <w:lang w:eastAsia="zh-CN"/>
        </w:rPr>
        <w:t>.</w:t>
      </w:r>
      <w:r>
        <w:rPr>
          <w:rFonts w:hint="eastAsia" w:ascii="宋体" w:hAnsi="宋体" w:eastAsia="宋体" w:cs="宋体"/>
          <w:b/>
          <w:bCs/>
          <w:color w:val="auto"/>
          <w:kern w:val="0"/>
          <w:sz w:val="21"/>
          <w:szCs w:val="21"/>
        </w:rPr>
        <w:t>技术参数</w:t>
      </w:r>
    </w:p>
    <w:tbl>
      <w:tblPr>
        <w:tblStyle w:val="61"/>
        <w:tblW w:w="7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5"/>
        <w:gridCol w:w="4673"/>
      </w:tblGrid>
      <w:tr w14:paraId="792CE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415" w:type="dxa"/>
            <w:vAlign w:val="center"/>
          </w:tcPr>
          <w:p w14:paraId="13614E11">
            <w:pPr>
              <w:ind w:left="-19" w:firstLine="0" w:firstLineChars="0"/>
              <w:jc w:val="center"/>
              <w:rPr>
                <w:rFonts w:hint="eastAsia" w:ascii="宋体" w:hAnsi="宋体" w:eastAsia="宋体" w:cs="宋体"/>
                <w:b/>
                <w:color w:val="auto"/>
              </w:rPr>
            </w:pPr>
            <w:r>
              <w:rPr>
                <w:rFonts w:hint="eastAsia" w:ascii="宋体" w:hAnsi="宋体" w:eastAsia="宋体" w:cs="宋体"/>
                <w:b/>
                <w:color w:val="auto"/>
              </w:rPr>
              <w:t>指标名称</w:t>
            </w:r>
          </w:p>
        </w:tc>
        <w:tc>
          <w:tcPr>
            <w:tcW w:w="4673" w:type="dxa"/>
            <w:vAlign w:val="center"/>
          </w:tcPr>
          <w:p w14:paraId="4B07011F">
            <w:pPr>
              <w:ind w:left="-19" w:firstLine="0" w:firstLineChars="0"/>
              <w:jc w:val="center"/>
              <w:rPr>
                <w:rFonts w:hint="eastAsia" w:ascii="宋体" w:hAnsi="宋体" w:eastAsia="宋体" w:cs="宋体"/>
                <w:b/>
                <w:color w:val="auto"/>
              </w:rPr>
            </w:pPr>
            <w:r>
              <w:rPr>
                <w:rFonts w:hint="eastAsia" w:ascii="宋体" w:hAnsi="宋体" w:eastAsia="宋体" w:cs="宋体"/>
                <w:b/>
                <w:color w:val="auto"/>
              </w:rPr>
              <w:t>参  数</w:t>
            </w:r>
          </w:p>
        </w:tc>
      </w:tr>
      <w:tr w14:paraId="2AE2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415" w:type="dxa"/>
            <w:vAlign w:val="center"/>
          </w:tcPr>
          <w:p w14:paraId="1C0730C6">
            <w:pPr>
              <w:ind w:left="-19" w:firstLine="0" w:firstLineChars="0"/>
              <w:jc w:val="center"/>
              <w:rPr>
                <w:rFonts w:hint="eastAsia" w:ascii="宋体" w:hAnsi="宋体" w:eastAsia="宋体" w:cs="宋体"/>
                <w:color w:val="auto"/>
              </w:rPr>
            </w:pPr>
            <w:r>
              <w:rPr>
                <w:rFonts w:hint="eastAsia" w:ascii="宋体" w:hAnsi="宋体" w:eastAsia="宋体" w:cs="宋体"/>
                <w:color w:val="auto"/>
              </w:rPr>
              <w:t>盐度测量范围</w:t>
            </w:r>
          </w:p>
        </w:tc>
        <w:tc>
          <w:tcPr>
            <w:tcW w:w="4673" w:type="dxa"/>
            <w:vAlign w:val="center"/>
          </w:tcPr>
          <w:p w14:paraId="50C8C958">
            <w:pPr>
              <w:ind w:firstLine="0" w:firstLineChars="0"/>
              <w:jc w:val="center"/>
              <w:rPr>
                <w:rFonts w:hint="eastAsia" w:ascii="宋体" w:hAnsi="宋体" w:eastAsia="宋体" w:cs="宋体"/>
                <w:color w:val="auto"/>
              </w:rPr>
            </w:pPr>
            <w:r>
              <w:rPr>
                <w:rFonts w:hint="eastAsia" w:ascii="宋体" w:hAnsi="宋体" w:eastAsia="宋体" w:cs="宋体"/>
                <w:color w:val="auto"/>
              </w:rPr>
              <w:t>0.2～42 PSU</w:t>
            </w:r>
          </w:p>
        </w:tc>
      </w:tr>
      <w:tr w14:paraId="78EC6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415" w:type="dxa"/>
            <w:vAlign w:val="center"/>
          </w:tcPr>
          <w:p w14:paraId="21AE309C">
            <w:pPr>
              <w:ind w:left="-19" w:firstLine="0" w:firstLineChars="0"/>
              <w:jc w:val="center"/>
              <w:rPr>
                <w:rFonts w:hint="eastAsia" w:ascii="宋体" w:hAnsi="宋体" w:eastAsia="宋体" w:cs="宋体"/>
                <w:color w:val="auto"/>
              </w:rPr>
            </w:pPr>
            <w:r>
              <w:rPr>
                <w:rFonts w:hint="eastAsia" w:ascii="宋体" w:hAnsi="宋体" w:eastAsia="宋体" w:cs="宋体"/>
                <w:color w:val="auto"/>
              </w:rPr>
              <w:t>盐度测量分辨率</w:t>
            </w:r>
          </w:p>
        </w:tc>
        <w:tc>
          <w:tcPr>
            <w:tcW w:w="4673" w:type="dxa"/>
            <w:vAlign w:val="center"/>
          </w:tcPr>
          <w:p w14:paraId="4F1DCBE2">
            <w:pPr>
              <w:ind w:left="-19" w:firstLine="0" w:firstLineChars="0"/>
              <w:jc w:val="center"/>
              <w:rPr>
                <w:rFonts w:hint="eastAsia" w:ascii="宋体" w:hAnsi="宋体" w:eastAsia="宋体" w:cs="宋体"/>
                <w:color w:val="auto"/>
              </w:rPr>
            </w:pPr>
            <w:r>
              <w:rPr>
                <w:rFonts w:hint="eastAsia" w:ascii="宋体" w:hAnsi="宋体" w:eastAsia="宋体" w:cs="宋体"/>
                <w:color w:val="auto"/>
              </w:rPr>
              <w:t>0.0001 PSU</w:t>
            </w:r>
          </w:p>
        </w:tc>
      </w:tr>
      <w:tr w14:paraId="568CF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415" w:type="dxa"/>
            <w:vAlign w:val="center"/>
          </w:tcPr>
          <w:p w14:paraId="3164B472">
            <w:pPr>
              <w:ind w:left="-19" w:firstLine="0" w:firstLineChars="0"/>
              <w:jc w:val="center"/>
              <w:rPr>
                <w:rFonts w:hint="eastAsia" w:ascii="宋体" w:hAnsi="宋体" w:eastAsia="宋体" w:cs="宋体"/>
                <w:color w:val="auto"/>
              </w:rPr>
            </w:pPr>
            <w:r>
              <w:rPr>
                <w:rFonts w:hint="eastAsia" w:ascii="宋体" w:hAnsi="宋体" w:eastAsia="宋体" w:cs="宋体"/>
                <w:color w:val="auto"/>
              </w:rPr>
              <w:t>盐度测量重复性</w:t>
            </w:r>
          </w:p>
        </w:tc>
        <w:tc>
          <w:tcPr>
            <w:tcW w:w="4673" w:type="dxa"/>
            <w:vAlign w:val="center"/>
          </w:tcPr>
          <w:p w14:paraId="05B0E962">
            <w:pPr>
              <w:ind w:left="-19" w:firstLine="0" w:firstLineChars="0"/>
              <w:jc w:val="center"/>
              <w:rPr>
                <w:rFonts w:hint="eastAsia" w:ascii="宋体" w:hAnsi="宋体" w:eastAsia="宋体" w:cs="宋体"/>
                <w:color w:val="auto"/>
              </w:rPr>
            </w:pPr>
            <w:r>
              <w:rPr>
                <w:rFonts w:hint="eastAsia" w:ascii="宋体" w:hAnsi="宋体" w:eastAsia="宋体" w:cs="宋体"/>
                <w:color w:val="auto"/>
              </w:rPr>
              <w:t>0.001 PSU</w:t>
            </w:r>
          </w:p>
        </w:tc>
      </w:tr>
      <w:tr w14:paraId="55A82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415" w:type="dxa"/>
            <w:vAlign w:val="center"/>
          </w:tcPr>
          <w:p w14:paraId="30D2E003">
            <w:pPr>
              <w:ind w:left="-19" w:firstLine="0" w:firstLineChars="0"/>
              <w:jc w:val="center"/>
              <w:rPr>
                <w:rFonts w:hint="eastAsia" w:ascii="宋体" w:hAnsi="宋体" w:eastAsia="宋体" w:cs="宋体"/>
                <w:color w:val="auto"/>
              </w:rPr>
            </w:pPr>
            <w:r>
              <w:rPr>
                <w:rFonts w:hint="eastAsia" w:ascii="宋体" w:hAnsi="宋体" w:eastAsia="宋体" w:cs="宋体"/>
                <w:color w:val="auto"/>
              </w:rPr>
              <w:t>盐度测量准确度</w:t>
            </w:r>
          </w:p>
        </w:tc>
        <w:tc>
          <w:tcPr>
            <w:tcW w:w="4673" w:type="dxa"/>
            <w:vAlign w:val="center"/>
          </w:tcPr>
          <w:p w14:paraId="19CECC0E">
            <w:pPr>
              <w:ind w:left="-19" w:firstLine="0" w:firstLineChars="0"/>
              <w:jc w:val="center"/>
              <w:rPr>
                <w:rFonts w:hint="eastAsia" w:ascii="宋体" w:hAnsi="宋体" w:eastAsia="宋体" w:cs="宋体"/>
                <w:color w:val="auto"/>
              </w:rPr>
            </w:pPr>
            <w:r>
              <w:rPr>
                <w:rFonts w:hint="eastAsia" w:ascii="宋体" w:hAnsi="宋体" w:eastAsia="宋体" w:cs="宋体"/>
                <w:color w:val="auto"/>
              </w:rPr>
              <w:t>±0.003 PSU</w:t>
            </w:r>
          </w:p>
        </w:tc>
      </w:tr>
      <w:tr w14:paraId="15D94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415" w:type="dxa"/>
            <w:vAlign w:val="center"/>
          </w:tcPr>
          <w:p w14:paraId="44274A88">
            <w:pPr>
              <w:ind w:left="-19" w:firstLine="0" w:firstLineChars="0"/>
              <w:jc w:val="center"/>
              <w:rPr>
                <w:rFonts w:hint="eastAsia" w:ascii="宋体" w:hAnsi="宋体" w:eastAsia="宋体" w:cs="宋体"/>
                <w:color w:val="auto"/>
              </w:rPr>
            </w:pPr>
            <w:r>
              <w:rPr>
                <w:rFonts w:hint="eastAsia" w:ascii="宋体" w:hAnsi="宋体" w:eastAsia="宋体" w:cs="宋体"/>
                <w:color w:val="auto"/>
              </w:rPr>
              <w:t>盐度测量稳定性</w:t>
            </w:r>
          </w:p>
        </w:tc>
        <w:tc>
          <w:tcPr>
            <w:tcW w:w="4673" w:type="dxa"/>
            <w:vAlign w:val="center"/>
          </w:tcPr>
          <w:p w14:paraId="5D116AA1">
            <w:pPr>
              <w:ind w:left="-19" w:firstLine="0" w:firstLineChars="0"/>
              <w:jc w:val="center"/>
              <w:rPr>
                <w:rFonts w:hint="eastAsia" w:ascii="宋体" w:hAnsi="宋体" w:eastAsia="宋体" w:cs="宋体"/>
                <w:color w:val="auto"/>
              </w:rPr>
            </w:pPr>
            <w:r>
              <w:rPr>
                <w:rFonts w:hint="eastAsia" w:ascii="宋体" w:hAnsi="宋体" w:eastAsia="宋体" w:cs="宋体"/>
                <w:color w:val="auto"/>
              </w:rPr>
              <w:t>≤±0.003 PSU（24h）</w:t>
            </w:r>
          </w:p>
        </w:tc>
      </w:tr>
      <w:tr w14:paraId="40432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415" w:type="dxa"/>
            <w:vAlign w:val="center"/>
          </w:tcPr>
          <w:p w14:paraId="0DEB69A6">
            <w:pPr>
              <w:ind w:left="-19" w:firstLine="0" w:firstLineChars="0"/>
              <w:jc w:val="center"/>
              <w:rPr>
                <w:rFonts w:hint="eastAsia" w:ascii="宋体" w:hAnsi="宋体" w:eastAsia="宋体" w:cs="宋体"/>
                <w:color w:val="auto"/>
              </w:rPr>
            </w:pPr>
            <w:r>
              <w:rPr>
                <w:rFonts w:hint="eastAsia" w:ascii="宋体" w:hAnsi="宋体" w:eastAsia="宋体" w:cs="宋体"/>
                <w:color w:val="auto"/>
              </w:rPr>
              <w:t>温度测量准确度</w:t>
            </w:r>
          </w:p>
        </w:tc>
        <w:tc>
          <w:tcPr>
            <w:tcW w:w="4673" w:type="dxa"/>
            <w:vAlign w:val="center"/>
          </w:tcPr>
          <w:p w14:paraId="4368F85F">
            <w:pPr>
              <w:ind w:left="-19" w:firstLine="0" w:firstLineChars="0"/>
              <w:jc w:val="center"/>
              <w:rPr>
                <w:rFonts w:hint="eastAsia" w:ascii="宋体" w:hAnsi="宋体" w:eastAsia="宋体" w:cs="宋体"/>
                <w:color w:val="auto"/>
              </w:rPr>
            </w:pPr>
            <w:r>
              <w:rPr>
                <w:rFonts w:hint="eastAsia" w:ascii="宋体" w:hAnsi="宋体" w:eastAsia="宋体" w:cs="宋体"/>
                <w:color w:val="auto"/>
              </w:rPr>
              <w:t>±0.003 ℃</w:t>
            </w:r>
          </w:p>
        </w:tc>
      </w:tr>
      <w:tr w14:paraId="7EC0B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415" w:type="dxa"/>
            <w:vAlign w:val="center"/>
          </w:tcPr>
          <w:p w14:paraId="56EC2A58">
            <w:pPr>
              <w:ind w:left="-19" w:firstLine="0" w:firstLineChars="0"/>
              <w:jc w:val="center"/>
              <w:rPr>
                <w:rFonts w:hint="eastAsia" w:ascii="宋体" w:hAnsi="宋体" w:eastAsia="宋体" w:cs="宋体"/>
                <w:color w:val="auto"/>
              </w:rPr>
            </w:pPr>
            <w:r>
              <w:rPr>
                <w:rFonts w:hint="eastAsia" w:ascii="宋体" w:hAnsi="宋体" w:eastAsia="宋体" w:cs="宋体"/>
                <w:color w:val="auto"/>
              </w:rPr>
              <w:t>水浴温场波动</w:t>
            </w:r>
          </w:p>
        </w:tc>
        <w:tc>
          <w:tcPr>
            <w:tcW w:w="4673" w:type="dxa"/>
            <w:vAlign w:val="center"/>
          </w:tcPr>
          <w:p w14:paraId="18AF826C">
            <w:pPr>
              <w:ind w:left="-19" w:firstLine="0" w:firstLineChars="0"/>
              <w:jc w:val="center"/>
              <w:rPr>
                <w:rFonts w:hint="eastAsia" w:ascii="宋体" w:hAnsi="宋体" w:eastAsia="宋体" w:cs="宋体"/>
                <w:color w:val="auto"/>
              </w:rPr>
            </w:pPr>
            <w:r>
              <w:rPr>
                <w:rFonts w:hint="eastAsia" w:ascii="宋体" w:hAnsi="宋体" w:eastAsia="宋体" w:cs="宋体"/>
                <w:color w:val="auto"/>
              </w:rPr>
              <w:t>±0.0003 ℃</w:t>
            </w:r>
          </w:p>
        </w:tc>
      </w:tr>
      <w:tr w14:paraId="4A9B9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415" w:type="dxa"/>
            <w:vAlign w:val="center"/>
          </w:tcPr>
          <w:p w14:paraId="0E616521">
            <w:pPr>
              <w:ind w:left="-19" w:firstLine="0" w:firstLineChars="0"/>
              <w:jc w:val="center"/>
              <w:rPr>
                <w:rFonts w:hint="eastAsia" w:ascii="宋体" w:hAnsi="宋体" w:eastAsia="宋体" w:cs="宋体"/>
                <w:color w:val="auto"/>
              </w:rPr>
            </w:pPr>
            <w:r>
              <w:rPr>
                <w:rFonts w:hint="eastAsia" w:ascii="宋体" w:hAnsi="宋体" w:eastAsia="宋体" w:cs="宋体"/>
                <w:color w:val="auto"/>
              </w:rPr>
              <w:t>所需样品量</w:t>
            </w:r>
          </w:p>
        </w:tc>
        <w:tc>
          <w:tcPr>
            <w:tcW w:w="4673" w:type="dxa"/>
            <w:vAlign w:val="center"/>
          </w:tcPr>
          <w:p w14:paraId="27B0E04B">
            <w:pPr>
              <w:ind w:left="-19" w:firstLine="0" w:firstLineChars="0"/>
              <w:jc w:val="center"/>
              <w:rPr>
                <w:rFonts w:hint="eastAsia" w:ascii="宋体" w:hAnsi="宋体" w:eastAsia="宋体" w:cs="宋体"/>
                <w:color w:val="auto"/>
              </w:rPr>
            </w:pPr>
            <w:r>
              <w:rPr>
                <w:rFonts w:hint="eastAsia" w:ascii="宋体" w:hAnsi="宋体" w:eastAsia="宋体" w:cs="宋体"/>
                <w:color w:val="auto"/>
              </w:rPr>
              <w:t>冲洗10mL/次，测量15mL/次，可设置</w:t>
            </w:r>
          </w:p>
        </w:tc>
      </w:tr>
      <w:tr w14:paraId="2B74B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415" w:type="dxa"/>
            <w:vAlign w:val="center"/>
          </w:tcPr>
          <w:p w14:paraId="7FC51B81">
            <w:pPr>
              <w:ind w:left="-19" w:firstLine="0" w:firstLineChars="0"/>
              <w:jc w:val="center"/>
              <w:rPr>
                <w:rFonts w:hint="eastAsia" w:ascii="宋体" w:hAnsi="宋体" w:eastAsia="宋体" w:cs="宋体"/>
                <w:color w:val="auto"/>
              </w:rPr>
            </w:pPr>
            <w:r>
              <w:rPr>
                <w:rFonts w:hint="eastAsia" w:ascii="宋体" w:hAnsi="宋体" w:eastAsia="宋体" w:cs="宋体"/>
                <w:color w:val="auto"/>
              </w:rPr>
              <w:t>单次进样和测量时间</w:t>
            </w:r>
          </w:p>
        </w:tc>
        <w:tc>
          <w:tcPr>
            <w:tcW w:w="4673" w:type="dxa"/>
            <w:vAlign w:val="center"/>
          </w:tcPr>
          <w:p w14:paraId="568EB85A">
            <w:pPr>
              <w:ind w:left="-19" w:firstLine="0" w:firstLineChars="0"/>
              <w:jc w:val="center"/>
              <w:rPr>
                <w:rFonts w:hint="eastAsia" w:ascii="宋体" w:hAnsi="宋体" w:eastAsia="宋体" w:cs="宋体"/>
                <w:color w:val="auto"/>
              </w:rPr>
            </w:pPr>
            <w:r>
              <w:rPr>
                <w:rFonts w:hint="eastAsia" w:ascii="宋体" w:hAnsi="宋体" w:eastAsia="宋体" w:cs="宋体"/>
                <w:color w:val="auto"/>
              </w:rPr>
              <w:t>典型值90秒，可设置</w:t>
            </w:r>
          </w:p>
        </w:tc>
      </w:tr>
      <w:tr w14:paraId="29018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415" w:type="dxa"/>
            <w:vAlign w:val="center"/>
          </w:tcPr>
          <w:p w14:paraId="7339DA1D">
            <w:pPr>
              <w:ind w:left="-19" w:firstLine="0" w:firstLineChars="0"/>
              <w:jc w:val="center"/>
              <w:rPr>
                <w:rFonts w:hint="eastAsia" w:ascii="宋体" w:hAnsi="宋体" w:eastAsia="宋体" w:cs="宋体"/>
                <w:color w:val="auto"/>
              </w:rPr>
            </w:pPr>
            <w:r>
              <w:rPr>
                <w:rFonts w:hint="eastAsia" w:ascii="宋体" w:hAnsi="宋体" w:eastAsia="宋体" w:cs="宋体"/>
                <w:color w:val="auto"/>
              </w:rPr>
              <w:t>水浴控温温度</w:t>
            </w:r>
          </w:p>
        </w:tc>
        <w:tc>
          <w:tcPr>
            <w:tcW w:w="4673" w:type="dxa"/>
            <w:vAlign w:val="center"/>
          </w:tcPr>
          <w:p w14:paraId="3A6ED101">
            <w:pPr>
              <w:ind w:left="-19" w:firstLine="0" w:firstLineChars="0"/>
              <w:jc w:val="center"/>
              <w:rPr>
                <w:rFonts w:hint="eastAsia" w:ascii="宋体" w:hAnsi="宋体" w:eastAsia="宋体" w:cs="宋体"/>
                <w:color w:val="auto"/>
              </w:rPr>
            </w:pPr>
            <w:r>
              <w:rPr>
                <w:rFonts w:hint="eastAsia" w:ascii="宋体" w:hAnsi="宋体" w:eastAsia="宋体" w:cs="宋体"/>
                <w:color w:val="auto"/>
              </w:rPr>
              <w:t>环境温度±3℃</w:t>
            </w:r>
          </w:p>
        </w:tc>
      </w:tr>
      <w:tr w14:paraId="4E902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415" w:type="dxa"/>
            <w:vAlign w:val="center"/>
          </w:tcPr>
          <w:p w14:paraId="6D3F1A55">
            <w:pPr>
              <w:ind w:left="-19" w:firstLine="0" w:firstLineChars="0"/>
              <w:jc w:val="center"/>
              <w:rPr>
                <w:rFonts w:hint="eastAsia" w:ascii="宋体" w:hAnsi="宋体" w:eastAsia="宋体" w:cs="宋体"/>
                <w:color w:val="auto"/>
              </w:rPr>
            </w:pPr>
            <w:r>
              <w:rPr>
                <w:rFonts w:hint="eastAsia" w:ascii="宋体" w:hAnsi="宋体" w:eastAsia="宋体" w:cs="宋体"/>
                <w:color w:val="auto"/>
              </w:rPr>
              <w:t>测量准备时间</w:t>
            </w:r>
          </w:p>
        </w:tc>
        <w:tc>
          <w:tcPr>
            <w:tcW w:w="4673" w:type="dxa"/>
            <w:vAlign w:val="center"/>
          </w:tcPr>
          <w:p w14:paraId="6C20708E">
            <w:pPr>
              <w:ind w:left="-19" w:firstLine="0" w:firstLineChars="0"/>
              <w:jc w:val="center"/>
              <w:rPr>
                <w:rFonts w:hint="eastAsia" w:ascii="宋体" w:hAnsi="宋体" w:eastAsia="宋体" w:cs="宋体"/>
                <w:color w:val="auto"/>
              </w:rPr>
            </w:pPr>
            <w:r>
              <w:rPr>
                <w:rFonts w:hint="eastAsia" w:ascii="宋体" w:hAnsi="宋体" w:eastAsia="宋体" w:cs="宋体"/>
                <w:color w:val="auto"/>
              </w:rPr>
              <w:t>小于30分钟</w:t>
            </w:r>
          </w:p>
        </w:tc>
      </w:tr>
    </w:tbl>
    <w:p w14:paraId="61F36A4A">
      <w:pPr>
        <w:pageBreakBefore w:val="0"/>
        <w:kinsoku/>
        <w:wordWrap/>
        <w:overflowPunct/>
        <w:topLinePunct w:val="0"/>
        <w:bidi w:val="0"/>
        <w:snapToGrid/>
        <w:spacing w:line="320" w:lineRule="exact"/>
        <w:ind w:left="0" w:right="0" w:rightChars="0" w:firstLine="482"/>
        <w:textAlignment w:val="auto"/>
        <w:rPr>
          <w:rFonts w:hint="eastAsia" w:ascii="宋体" w:hAnsi="宋体" w:eastAsia="宋体" w:cs="宋体"/>
          <w:b/>
          <w:color w:val="auto"/>
          <w:sz w:val="21"/>
          <w:szCs w:val="21"/>
          <w:lang w:val="en-US" w:eastAsia="zh-CN"/>
        </w:rPr>
      </w:pPr>
    </w:p>
    <w:p w14:paraId="185FFE4B">
      <w:pPr>
        <w:pageBreakBefore w:val="0"/>
        <w:kinsoku/>
        <w:wordWrap/>
        <w:overflowPunct/>
        <w:topLinePunct w:val="0"/>
        <w:bidi w:val="0"/>
        <w:snapToGrid/>
        <w:spacing w:line="320" w:lineRule="exact"/>
        <w:ind w:left="0" w:right="0" w:rightChars="0" w:firstLine="482"/>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lang w:val="en-US" w:eastAsia="zh-CN"/>
        </w:rPr>
        <w:t>3</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 xml:space="preserve">基本配置 </w:t>
      </w:r>
    </w:p>
    <w:tbl>
      <w:tblPr>
        <w:tblStyle w:val="62"/>
        <w:tblW w:w="7998" w:type="dxa"/>
        <w:tblInd w:w="5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299"/>
        <w:gridCol w:w="989"/>
        <w:gridCol w:w="989"/>
      </w:tblGrid>
      <w:tr w14:paraId="6EF9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14:paraId="4A66161C">
            <w:pPr>
              <w:pageBreakBefore w:val="0"/>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b/>
                <w:color w:val="auto"/>
                <w:kern w:val="0"/>
                <w:sz w:val="21"/>
                <w:szCs w:val="21"/>
              </w:rPr>
            </w:pPr>
            <w:bookmarkStart w:id="4" w:name="_Hlk187420324"/>
            <w:r>
              <w:rPr>
                <w:rFonts w:hint="eastAsia" w:ascii="宋体" w:hAnsi="宋体" w:eastAsia="宋体" w:cs="宋体"/>
                <w:b/>
                <w:color w:val="auto"/>
                <w:kern w:val="0"/>
                <w:sz w:val="21"/>
                <w:szCs w:val="21"/>
              </w:rPr>
              <w:t>序号</w:t>
            </w:r>
          </w:p>
        </w:tc>
        <w:tc>
          <w:tcPr>
            <w:tcW w:w="5299" w:type="dxa"/>
            <w:vAlign w:val="center"/>
          </w:tcPr>
          <w:p w14:paraId="5EB7781B">
            <w:pPr>
              <w:pageBreakBefore w:val="0"/>
              <w:kinsoku/>
              <w:wordWrap/>
              <w:overflowPunct/>
              <w:topLinePunct w:val="0"/>
              <w:bidi w:val="0"/>
              <w:snapToGrid/>
              <w:spacing w:line="320" w:lineRule="exact"/>
              <w:ind w:left="0" w:right="0" w:rightChars="0" w:firstLine="482"/>
              <w:jc w:val="center"/>
              <w:textAlignment w:val="auto"/>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名称</w:t>
            </w:r>
          </w:p>
        </w:tc>
        <w:tc>
          <w:tcPr>
            <w:tcW w:w="989" w:type="dxa"/>
            <w:vAlign w:val="center"/>
          </w:tcPr>
          <w:p w14:paraId="2DF4B6D0">
            <w:pPr>
              <w:pageBreakBefore w:val="0"/>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单位</w:t>
            </w:r>
          </w:p>
        </w:tc>
        <w:tc>
          <w:tcPr>
            <w:tcW w:w="989" w:type="dxa"/>
            <w:vAlign w:val="center"/>
          </w:tcPr>
          <w:p w14:paraId="1720C898">
            <w:pPr>
              <w:pageBreakBefore w:val="0"/>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数量</w:t>
            </w:r>
          </w:p>
        </w:tc>
      </w:tr>
      <w:tr w14:paraId="0BF5F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21" w:type="dxa"/>
            <w:vAlign w:val="center"/>
          </w:tcPr>
          <w:p w14:paraId="6EAB5143">
            <w:pPr>
              <w:pageBreakBefore w:val="0"/>
              <w:widowControl/>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5299" w:type="dxa"/>
            <w:vAlign w:val="center"/>
          </w:tcPr>
          <w:p w14:paraId="6EDAA407">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盐度计主机</w:t>
            </w:r>
          </w:p>
        </w:tc>
        <w:tc>
          <w:tcPr>
            <w:tcW w:w="989" w:type="dxa"/>
            <w:vAlign w:val="center"/>
          </w:tcPr>
          <w:p w14:paraId="1F068E26">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台</w:t>
            </w:r>
          </w:p>
        </w:tc>
        <w:tc>
          <w:tcPr>
            <w:tcW w:w="989" w:type="dxa"/>
            <w:vAlign w:val="center"/>
          </w:tcPr>
          <w:p w14:paraId="1376C90E">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1</w:t>
            </w:r>
          </w:p>
        </w:tc>
      </w:tr>
      <w:tr w14:paraId="6199B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1" w:type="dxa"/>
            <w:vAlign w:val="center"/>
          </w:tcPr>
          <w:p w14:paraId="0F947492">
            <w:pPr>
              <w:pageBreakBefore w:val="0"/>
              <w:widowControl/>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5299" w:type="dxa"/>
            <w:vAlign w:val="center"/>
          </w:tcPr>
          <w:p w14:paraId="54A093AD">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软管</w:t>
            </w:r>
          </w:p>
        </w:tc>
        <w:tc>
          <w:tcPr>
            <w:tcW w:w="989" w:type="dxa"/>
            <w:vAlign w:val="center"/>
          </w:tcPr>
          <w:p w14:paraId="2123261B">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根</w:t>
            </w:r>
          </w:p>
        </w:tc>
        <w:tc>
          <w:tcPr>
            <w:tcW w:w="989" w:type="dxa"/>
            <w:vAlign w:val="center"/>
          </w:tcPr>
          <w:p w14:paraId="2FDFDB78">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2</w:t>
            </w:r>
          </w:p>
        </w:tc>
      </w:tr>
      <w:tr w14:paraId="3545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1" w:type="dxa"/>
            <w:vAlign w:val="center"/>
          </w:tcPr>
          <w:p w14:paraId="54F35283">
            <w:pPr>
              <w:pageBreakBefore w:val="0"/>
              <w:widowControl/>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5299" w:type="dxa"/>
            <w:vAlign w:val="center"/>
          </w:tcPr>
          <w:p w14:paraId="6D74DF66">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进样管（含接头）</w:t>
            </w:r>
          </w:p>
        </w:tc>
        <w:tc>
          <w:tcPr>
            <w:tcW w:w="989" w:type="dxa"/>
            <w:vAlign w:val="center"/>
          </w:tcPr>
          <w:p w14:paraId="07AF1932">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根</w:t>
            </w:r>
          </w:p>
        </w:tc>
        <w:tc>
          <w:tcPr>
            <w:tcW w:w="989" w:type="dxa"/>
            <w:vAlign w:val="center"/>
          </w:tcPr>
          <w:p w14:paraId="1F68C3B9">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1</w:t>
            </w:r>
          </w:p>
        </w:tc>
      </w:tr>
      <w:tr w14:paraId="1D9E1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721" w:type="dxa"/>
            <w:vAlign w:val="center"/>
          </w:tcPr>
          <w:p w14:paraId="7E193F3D">
            <w:pPr>
              <w:pageBreakBefore w:val="0"/>
              <w:widowControl/>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5299" w:type="dxa"/>
            <w:vAlign w:val="center"/>
          </w:tcPr>
          <w:p w14:paraId="47B47524">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小型潜水泵（含软管）</w:t>
            </w:r>
          </w:p>
        </w:tc>
        <w:tc>
          <w:tcPr>
            <w:tcW w:w="989" w:type="dxa"/>
            <w:vAlign w:val="center"/>
          </w:tcPr>
          <w:p w14:paraId="7AA22656">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个</w:t>
            </w:r>
          </w:p>
        </w:tc>
        <w:tc>
          <w:tcPr>
            <w:tcW w:w="989" w:type="dxa"/>
            <w:vAlign w:val="center"/>
          </w:tcPr>
          <w:p w14:paraId="2DAA2DEC">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1</w:t>
            </w:r>
          </w:p>
        </w:tc>
      </w:tr>
      <w:tr w14:paraId="2B801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721" w:type="dxa"/>
            <w:vAlign w:val="center"/>
          </w:tcPr>
          <w:p w14:paraId="456700F1">
            <w:pPr>
              <w:pageBreakBefore w:val="0"/>
              <w:widowControl/>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5299" w:type="dxa"/>
            <w:vAlign w:val="center"/>
          </w:tcPr>
          <w:p w14:paraId="46B10A93">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 xml:space="preserve">无线键鼠   </w:t>
            </w:r>
          </w:p>
        </w:tc>
        <w:tc>
          <w:tcPr>
            <w:tcW w:w="989" w:type="dxa"/>
            <w:vAlign w:val="center"/>
          </w:tcPr>
          <w:p w14:paraId="78DDBBB4">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套</w:t>
            </w:r>
          </w:p>
        </w:tc>
        <w:tc>
          <w:tcPr>
            <w:tcW w:w="989" w:type="dxa"/>
            <w:vAlign w:val="center"/>
          </w:tcPr>
          <w:p w14:paraId="18251B2A">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1</w:t>
            </w:r>
          </w:p>
        </w:tc>
      </w:tr>
      <w:tr w14:paraId="0FCE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1" w:type="dxa"/>
            <w:vAlign w:val="center"/>
          </w:tcPr>
          <w:p w14:paraId="5E942523">
            <w:pPr>
              <w:pageBreakBefore w:val="0"/>
              <w:widowControl/>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5299" w:type="dxa"/>
            <w:vAlign w:val="center"/>
          </w:tcPr>
          <w:p w14:paraId="2C3C12F7">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 xml:space="preserve">产品说明书                           </w:t>
            </w:r>
          </w:p>
        </w:tc>
        <w:tc>
          <w:tcPr>
            <w:tcW w:w="989" w:type="dxa"/>
            <w:vAlign w:val="center"/>
          </w:tcPr>
          <w:p w14:paraId="42A7614F">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份</w:t>
            </w:r>
          </w:p>
        </w:tc>
        <w:tc>
          <w:tcPr>
            <w:tcW w:w="989" w:type="dxa"/>
            <w:vAlign w:val="center"/>
          </w:tcPr>
          <w:p w14:paraId="6913BF7E">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1</w:t>
            </w:r>
          </w:p>
        </w:tc>
      </w:tr>
      <w:tr w14:paraId="556D1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721" w:type="dxa"/>
            <w:vAlign w:val="center"/>
          </w:tcPr>
          <w:p w14:paraId="0C6AD6F3">
            <w:pPr>
              <w:pageBreakBefore w:val="0"/>
              <w:widowControl/>
              <w:kinsoku/>
              <w:wordWrap/>
              <w:overflowPunct/>
              <w:topLinePunct w:val="0"/>
              <w:bidi w:val="0"/>
              <w:snapToGrid/>
              <w:spacing w:line="320" w:lineRule="exact"/>
              <w:ind w:left="0" w:right="0" w:rightChars="0"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5299" w:type="dxa"/>
            <w:vAlign w:val="center"/>
          </w:tcPr>
          <w:p w14:paraId="4003AFA7">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 xml:space="preserve">电源线                               </w:t>
            </w:r>
          </w:p>
        </w:tc>
        <w:tc>
          <w:tcPr>
            <w:tcW w:w="989" w:type="dxa"/>
            <w:vAlign w:val="center"/>
          </w:tcPr>
          <w:p w14:paraId="429F0778">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根</w:t>
            </w:r>
          </w:p>
        </w:tc>
        <w:tc>
          <w:tcPr>
            <w:tcW w:w="989" w:type="dxa"/>
            <w:vAlign w:val="center"/>
          </w:tcPr>
          <w:p w14:paraId="51EBE52E">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1</w:t>
            </w:r>
          </w:p>
        </w:tc>
      </w:tr>
      <w:bookmarkEnd w:id="4"/>
    </w:tbl>
    <w:p w14:paraId="6EF8E613">
      <w:pPr>
        <w:pageBreakBefore w:val="0"/>
        <w:kinsoku/>
        <w:wordWrap/>
        <w:overflowPunct/>
        <w:topLinePunct w:val="0"/>
        <w:autoSpaceDE w:val="0"/>
        <w:autoSpaceDN w:val="0"/>
        <w:bidi w:val="0"/>
        <w:adjustRightInd w:val="0"/>
        <w:snapToGrid/>
        <w:spacing w:line="320" w:lineRule="exact"/>
        <w:ind w:right="0" w:rightChars="0" w:firstLine="422" w:firstLineChars="200"/>
        <w:jc w:val="left"/>
        <w:textAlignment w:val="auto"/>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val="en-US" w:eastAsia="zh-CN"/>
        </w:rPr>
        <w:t>4</w:t>
      </w:r>
      <w:r>
        <w:rPr>
          <w:rFonts w:hint="eastAsia" w:ascii="宋体" w:hAnsi="宋体" w:eastAsia="宋体" w:cs="宋体"/>
          <w:b/>
          <w:bCs/>
          <w:color w:val="auto"/>
          <w:kern w:val="0"/>
          <w:sz w:val="21"/>
          <w:szCs w:val="21"/>
          <w:lang w:eastAsia="zh-CN"/>
        </w:rPr>
        <w:t>.售后服务</w:t>
      </w:r>
    </w:p>
    <w:p w14:paraId="1962068A">
      <w:pPr>
        <w:pStyle w:val="3"/>
        <w:pageBreakBefore w:val="0"/>
        <w:kinsoku/>
        <w:wordWrap/>
        <w:overflowPunct/>
        <w:topLinePunct w:val="0"/>
        <w:bidi w:val="0"/>
        <w:snapToGrid/>
        <w:spacing w:line="320" w:lineRule="exact"/>
        <w:ind w:left="0" w:leftChars="0" w:right="0" w:rightChars="0" w:firstLine="404" w:firstLineChars="200"/>
        <w:textAlignment w:val="auto"/>
        <w:rPr>
          <w:rFonts w:hint="eastAsia" w:ascii="宋体" w:hAnsi="宋体" w:eastAsia="宋体" w:cs="宋体"/>
          <w:color w:val="auto"/>
          <w:kern w:val="2"/>
          <w:sz w:val="21"/>
          <w:szCs w:val="21"/>
          <w:lang w:eastAsia="zh-CN"/>
        </w:rPr>
      </w:pPr>
      <w:r>
        <w:rPr>
          <w:rFonts w:hint="eastAsia" w:hAnsi="宋体" w:cs="宋体"/>
          <w:color w:val="auto"/>
          <w:kern w:val="2"/>
          <w:sz w:val="21"/>
          <w:szCs w:val="21"/>
          <w:lang w:eastAsia="zh-CN"/>
        </w:rPr>
        <w:t>（</w:t>
      </w:r>
      <w:r>
        <w:rPr>
          <w:rFonts w:hint="eastAsia" w:hAnsi="宋体" w:cs="宋体"/>
          <w:color w:val="auto"/>
          <w:kern w:val="2"/>
          <w:sz w:val="21"/>
          <w:szCs w:val="21"/>
          <w:lang w:val="en-US" w:eastAsia="zh-CN"/>
        </w:rPr>
        <w:t>1</w:t>
      </w:r>
      <w:r>
        <w:rPr>
          <w:rFonts w:hint="eastAsia" w:hAnsi="宋体" w:cs="宋体"/>
          <w:color w:val="auto"/>
          <w:kern w:val="2"/>
          <w:sz w:val="21"/>
          <w:szCs w:val="21"/>
          <w:lang w:eastAsia="zh-CN"/>
        </w:rPr>
        <w:t>）</w:t>
      </w:r>
      <w:r>
        <w:rPr>
          <w:rFonts w:hint="eastAsia" w:ascii="宋体" w:hAnsi="宋体" w:eastAsia="宋体" w:cs="宋体"/>
          <w:color w:val="auto"/>
          <w:kern w:val="2"/>
          <w:sz w:val="21"/>
          <w:szCs w:val="21"/>
          <w:lang w:eastAsia="zh-CN"/>
        </w:rPr>
        <w:t>技术人员到现场免费进行安装调试整个系统，确保仪器技术指标验收合格，并现场培训基本操作技术。</w:t>
      </w:r>
    </w:p>
    <w:p w14:paraId="100FEED1">
      <w:pPr>
        <w:pStyle w:val="3"/>
        <w:pageBreakBefore w:val="0"/>
        <w:kinsoku/>
        <w:wordWrap/>
        <w:overflowPunct/>
        <w:topLinePunct w:val="0"/>
        <w:bidi w:val="0"/>
        <w:snapToGrid/>
        <w:spacing w:line="320" w:lineRule="exact"/>
        <w:ind w:left="0" w:leftChars="0" w:right="0" w:rightChars="0" w:firstLine="404" w:firstLineChars="200"/>
        <w:textAlignment w:val="auto"/>
        <w:rPr>
          <w:rFonts w:hint="eastAsia" w:ascii="宋体" w:hAnsi="宋体" w:eastAsia="宋体" w:cs="宋体"/>
          <w:color w:val="auto"/>
          <w:kern w:val="2"/>
          <w:sz w:val="21"/>
          <w:szCs w:val="21"/>
          <w:lang w:eastAsia="zh-CN"/>
        </w:rPr>
      </w:pPr>
      <w:r>
        <w:rPr>
          <w:rFonts w:hint="eastAsia" w:hAnsi="宋体" w:cs="宋体"/>
          <w:color w:val="auto"/>
          <w:kern w:val="2"/>
          <w:sz w:val="21"/>
          <w:szCs w:val="21"/>
          <w:lang w:eastAsia="zh-CN"/>
        </w:rPr>
        <w:t>（</w:t>
      </w:r>
      <w:r>
        <w:rPr>
          <w:rFonts w:hint="eastAsia" w:hAnsi="宋体" w:cs="宋体"/>
          <w:color w:val="auto"/>
          <w:kern w:val="2"/>
          <w:sz w:val="21"/>
          <w:szCs w:val="21"/>
          <w:lang w:val="en-US" w:eastAsia="zh-CN"/>
        </w:rPr>
        <w:t>2</w:t>
      </w:r>
      <w:r>
        <w:rPr>
          <w:rFonts w:hint="eastAsia" w:hAnsi="宋体" w:cs="宋体"/>
          <w:color w:val="auto"/>
          <w:kern w:val="2"/>
          <w:sz w:val="21"/>
          <w:szCs w:val="21"/>
          <w:lang w:eastAsia="zh-CN"/>
        </w:rPr>
        <w:t>）</w:t>
      </w:r>
      <w:r>
        <w:rPr>
          <w:rFonts w:hint="eastAsia" w:ascii="宋体" w:hAnsi="宋体" w:eastAsia="宋体" w:cs="宋体"/>
          <w:color w:val="auto"/>
          <w:kern w:val="2"/>
          <w:sz w:val="21"/>
          <w:szCs w:val="21"/>
          <w:lang w:eastAsia="zh-CN"/>
        </w:rPr>
        <w:t>仪器安装调试合格后提供保修期2年，仪器保修期应从填写验收合格书后第二天算起，制造厂方终生提供维修服务、技术支持和零配件供应。</w:t>
      </w:r>
    </w:p>
    <w:p w14:paraId="29DB75FC">
      <w:pPr>
        <w:pStyle w:val="3"/>
        <w:pageBreakBefore w:val="0"/>
        <w:kinsoku/>
        <w:wordWrap/>
        <w:overflowPunct/>
        <w:topLinePunct w:val="0"/>
        <w:bidi w:val="0"/>
        <w:snapToGrid/>
        <w:spacing w:line="320" w:lineRule="exact"/>
        <w:ind w:left="0" w:leftChars="0" w:right="0" w:rightChars="0" w:firstLine="404" w:firstLineChars="200"/>
        <w:textAlignment w:val="auto"/>
        <w:rPr>
          <w:rFonts w:hint="eastAsia" w:ascii="宋体" w:hAnsi="宋体" w:eastAsia="宋体" w:cs="宋体"/>
          <w:color w:val="auto"/>
          <w:kern w:val="2"/>
          <w:sz w:val="21"/>
          <w:szCs w:val="21"/>
          <w:lang w:eastAsia="zh-CN"/>
        </w:rPr>
      </w:pPr>
      <w:r>
        <w:rPr>
          <w:rFonts w:hint="eastAsia" w:hAnsi="宋体" w:cs="宋体"/>
          <w:color w:val="auto"/>
          <w:kern w:val="2"/>
          <w:sz w:val="21"/>
          <w:szCs w:val="21"/>
          <w:lang w:eastAsia="zh-CN"/>
        </w:rPr>
        <w:t>（</w:t>
      </w:r>
      <w:r>
        <w:rPr>
          <w:rFonts w:hint="eastAsia" w:hAnsi="宋体" w:cs="宋体"/>
          <w:color w:val="auto"/>
          <w:kern w:val="2"/>
          <w:sz w:val="21"/>
          <w:szCs w:val="21"/>
          <w:lang w:val="en-US" w:eastAsia="zh-CN"/>
        </w:rPr>
        <w:t>3</w:t>
      </w:r>
      <w:r>
        <w:rPr>
          <w:rFonts w:hint="eastAsia" w:hAnsi="宋体" w:cs="宋体"/>
          <w:color w:val="auto"/>
          <w:kern w:val="2"/>
          <w:sz w:val="21"/>
          <w:szCs w:val="21"/>
          <w:lang w:eastAsia="zh-CN"/>
        </w:rPr>
        <w:t>）</w:t>
      </w:r>
      <w:r>
        <w:rPr>
          <w:rFonts w:hint="eastAsia" w:ascii="宋体" w:hAnsi="宋体" w:eastAsia="宋体" w:cs="宋体"/>
          <w:color w:val="auto"/>
          <w:kern w:val="2"/>
          <w:sz w:val="21"/>
          <w:szCs w:val="21"/>
          <w:lang w:eastAsia="zh-CN"/>
        </w:rPr>
        <w:t>公司为用户提供至少2人次免费操作技术培训。</w:t>
      </w:r>
    </w:p>
    <w:p w14:paraId="0DC8BA78">
      <w:pPr>
        <w:pStyle w:val="3"/>
        <w:pageBreakBefore w:val="0"/>
        <w:kinsoku/>
        <w:wordWrap/>
        <w:overflowPunct/>
        <w:topLinePunct w:val="0"/>
        <w:bidi w:val="0"/>
        <w:snapToGrid/>
        <w:spacing w:line="320" w:lineRule="exact"/>
        <w:ind w:left="0" w:leftChars="0" w:right="0" w:rightChars="0" w:firstLine="404" w:firstLineChars="200"/>
        <w:textAlignment w:val="auto"/>
        <w:rPr>
          <w:rFonts w:hint="eastAsia" w:ascii="宋体" w:hAnsi="宋体" w:eastAsia="宋体" w:cs="宋体"/>
          <w:color w:val="auto"/>
          <w:kern w:val="2"/>
          <w:sz w:val="21"/>
          <w:szCs w:val="21"/>
          <w:lang w:eastAsia="zh-CN"/>
        </w:rPr>
      </w:pPr>
      <w:r>
        <w:rPr>
          <w:rFonts w:hint="eastAsia" w:hAnsi="宋体" w:cs="宋体"/>
          <w:color w:val="auto"/>
          <w:kern w:val="2"/>
          <w:sz w:val="21"/>
          <w:szCs w:val="21"/>
          <w:lang w:eastAsia="zh-CN"/>
        </w:rPr>
        <w:t>（</w:t>
      </w:r>
      <w:r>
        <w:rPr>
          <w:rFonts w:hint="eastAsia" w:hAnsi="宋体" w:cs="宋体"/>
          <w:color w:val="auto"/>
          <w:kern w:val="2"/>
          <w:sz w:val="21"/>
          <w:szCs w:val="21"/>
          <w:lang w:val="en-US" w:eastAsia="zh-CN"/>
        </w:rPr>
        <w:t>4</w:t>
      </w:r>
      <w:r>
        <w:rPr>
          <w:rFonts w:hint="eastAsia" w:hAnsi="宋体" w:cs="宋体"/>
          <w:color w:val="auto"/>
          <w:kern w:val="2"/>
          <w:sz w:val="21"/>
          <w:szCs w:val="21"/>
          <w:lang w:eastAsia="zh-CN"/>
        </w:rPr>
        <w:t>）</w:t>
      </w:r>
      <w:r>
        <w:rPr>
          <w:rFonts w:hint="eastAsia" w:ascii="宋体" w:hAnsi="宋体" w:eastAsia="宋体" w:cs="宋体"/>
          <w:color w:val="auto"/>
          <w:kern w:val="2"/>
          <w:sz w:val="21"/>
          <w:szCs w:val="21"/>
          <w:lang w:eastAsia="zh-CN"/>
        </w:rPr>
        <w:t>在接到用户维修请求后，应能在4小时内做出快速响应，并在24小时内解决问题。</w:t>
      </w:r>
    </w:p>
    <w:p w14:paraId="58A3925F">
      <w:pPr>
        <w:pStyle w:val="3"/>
        <w:pageBreakBefore w:val="0"/>
        <w:kinsoku/>
        <w:wordWrap/>
        <w:overflowPunct/>
        <w:topLinePunct w:val="0"/>
        <w:bidi w:val="0"/>
        <w:snapToGrid/>
        <w:spacing w:line="320" w:lineRule="exact"/>
        <w:ind w:left="0" w:leftChars="0" w:right="0" w:rightChars="0" w:firstLine="404" w:firstLineChars="200"/>
        <w:textAlignment w:val="auto"/>
        <w:rPr>
          <w:rFonts w:hint="eastAsia" w:ascii="宋体" w:hAnsi="宋体" w:eastAsia="宋体" w:cs="宋体"/>
          <w:color w:val="auto"/>
          <w:kern w:val="2"/>
          <w:sz w:val="21"/>
          <w:szCs w:val="21"/>
          <w:lang w:val="en-US" w:eastAsia="zh-CN" w:bidi="ar-SA"/>
        </w:rPr>
      </w:pPr>
      <w:r>
        <w:rPr>
          <w:rFonts w:hint="eastAsia" w:hAnsi="宋体" w:cs="宋体"/>
          <w:color w:val="auto"/>
          <w:kern w:val="2"/>
          <w:sz w:val="21"/>
          <w:szCs w:val="21"/>
          <w:lang w:val="en-US" w:eastAsia="zh-CN"/>
        </w:rPr>
        <w:t>（5）</w:t>
      </w:r>
      <w:r>
        <w:rPr>
          <w:rFonts w:hint="eastAsia" w:ascii="宋体" w:hAnsi="宋体" w:eastAsia="宋体" w:cs="宋体"/>
          <w:color w:val="auto"/>
          <w:kern w:val="2"/>
          <w:sz w:val="21"/>
          <w:szCs w:val="21"/>
          <w:lang w:val="en-US" w:eastAsia="zh-CN"/>
        </w:rPr>
        <w:t>仪器设备应能够接入实验室LIMS系统，保持通讯协议开放</w:t>
      </w:r>
      <w:r>
        <w:rPr>
          <w:rFonts w:hint="eastAsia" w:ascii="宋体" w:hAnsi="宋体" w:eastAsia="宋体" w:cs="宋体"/>
          <w:color w:val="auto"/>
          <w:kern w:val="2"/>
          <w:sz w:val="21"/>
          <w:szCs w:val="21"/>
          <w:lang w:val="en-US" w:eastAsia="zh-CN" w:bidi="ar-SA"/>
        </w:rPr>
        <w:t>。</w:t>
      </w:r>
    </w:p>
    <w:p w14:paraId="7052E30A">
      <w:pPr>
        <w:pStyle w:val="4"/>
        <w:pageBreakBefore w:val="0"/>
        <w:numPr>
          <w:ilvl w:val="0"/>
          <w:numId w:val="0"/>
        </w:numPr>
        <w:kinsoku/>
        <w:wordWrap/>
        <w:overflowPunct/>
        <w:topLinePunct w:val="0"/>
        <w:bidi w:val="0"/>
        <w:spacing w:line="320" w:lineRule="exact"/>
        <w:ind w:right="-239" w:rightChars="-114"/>
        <w:jc w:val="both"/>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w:t>
      </w:r>
      <w:r>
        <w:rPr>
          <w:rFonts w:hint="eastAsia" w:ascii="宋体" w:hAnsi="宋体" w:eastAsia="宋体" w:cs="宋体"/>
          <w:color w:val="auto"/>
          <w:sz w:val="21"/>
          <w:szCs w:val="21"/>
          <w:lang w:eastAsia="zh-CN"/>
        </w:rPr>
        <w:t>）无人机采样模块：</w:t>
      </w:r>
    </w:p>
    <w:p w14:paraId="6B2F416B">
      <w:pPr>
        <w:keepNext w:val="0"/>
        <w:keepLines w:val="0"/>
        <w:pageBreakBefore w:val="0"/>
        <w:widowControl w:val="0"/>
        <w:kinsoku/>
        <w:wordWrap/>
        <w:overflowPunct/>
        <w:topLinePunct w:val="0"/>
        <w:autoSpaceDE w:val="0"/>
        <w:autoSpaceDN w:val="0"/>
        <w:bidi w:val="0"/>
        <w:adjustRightInd w:val="0"/>
        <w:snapToGrid/>
        <w:spacing w:line="320" w:lineRule="exact"/>
        <w:ind w:firstLine="482"/>
        <w:jc w:val="left"/>
        <w:textAlignment w:val="auto"/>
        <w:rPr>
          <w:rFonts w:hint="eastAsia"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1.设备用途</w:t>
      </w:r>
    </w:p>
    <w:p w14:paraId="06603D20">
      <w:pPr>
        <w:pStyle w:val="26"/>
        <w:keepNext w:val="0"/>
        <w:keepLines w:val="0"/>
        <w:pageBreakBefore w:val="0"/>
        <w:widowControl w:val="0"/>
        <w:kinsoku/>
        <w:wordWrap/>
        <w:overflowPunct/>
        <w:topLinePunct w:val="0"/>
        <w:bidi w:val="0"/>
        <w:snapToGrid/>
        <w:spacing w:after="0" w:line="320" w:lineRule="exact"/>
        <w:ind w:firstLine="422" w:firstLineChars="200"/>
        <w:textAlignment w:val="auto"/>
        <w:rPr>
          <w:rFonts w:hint="eastAsia" w:ascii="宋体" w:hAnsi="宋体" w:eastAsia="宋体" w:cs="宋体"/>
          <w:color w:val="auto"/>
          <w:sz w:val="21"/>
          <w:szCs w:val="21"/>
          <w:lang w:eastAsia="zh-CN"/>
        </w:rPr>
      </w:pPr>
      <w:r>
        <w:rPr>
          <w:rFonts w:hint="eastAsia" w:ascii="宋体" w:hAnsi="宋体" w:eastAsia="宋体" w:cs="宋体"/>
          <w:b/>
          <w:bCs/>
          <w:color w:val="auto"/>
          <w:kern w:val="0"/>
          <w:sz w:val="21"/>
          <w:szCs w:val="21"/>
          <w:lang w:eastAsia="zh-CN"/>
        </w:rPr>
        <w:t>用于实现无人机采样功能。</w:t>
      </w:r>
    </w:p>
    <w:p w14:paraId="6C2B29E1">
      <w:pPr>
        <w:keepNext w:val="0"/>
        <w:keepLines w:val="0"/>
        <w:pageBreakBefore w:val="0"/>
        <w:widowControl w:val="0"/>
        <w:kinsoku/>
        <w:wordWrap/>
        <w:overflowPunct/>
        <w:topLinePunct w:val="0"/>
        <w:autoSpaceDE w:val="0"/>
        <w:autoSpaceDN w:val="0"/>
        <w:bidi w:val="0"/>
        <w:adjustRightInd w:val="0"/>
        <w:snapToGrid/>
        <w:spacing w:line="320" w:lineRule="exact"/>
        <w:ind w:firstLine="482"/>
        <w:jc w:val="left"/>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lang w:val="en-US" w:eastAsia="zh-CN"/>
        </w:rPr>
        <w:t>2</w:t>
      </w:r>
      <w:r>
        <w:rPr>
          <w:rFonts w:hint="eastAsia" w:ascii="宋体" w:hAnsi="宋体" w:eastAsia="宋体" w:cs="宋体"/>
          <w:b/>
          <w:bCs/>
          <w:color w:val="auto"/>
          <w:kern w:val="0"/>
          <w:sz w:val="21"/>
          <w:szCs w:val="21"/>
          <w:lang w:eastAsia="zh-CN"/>
        </w:rPr>
        <w:t>.</w:t>
      </w:r>
      <w:r>
        <w:rPr>
          <w:rFonts w:hint="eastAsia" w:ascii="宋体" w:hAnsi="宋体" w:eastAsia="宋体" w:cs="宋体"/>
          <w:b/>
          <w:bCs/>
          <w:color w:val="auto"/>
          <w:kern w:val="0"/>
          <w:sz w:val="21"/>
          <w:szCs w:val="21"/>
        </w:rPr>
        <w:t>技术参数：</w:t>
      </w:r>
    </w:p>
    <w:p w14:paraId="5393EA5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2.1产品重量：≤1.35kg</w:t>
      </w:r>
    </w:p>
    <w:p w14:paraId="1BCFD10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2.2取水深度：不小于10米</w:t>
      </w:r>
    </w:p>
    <w:p w14:paraId="7803AB0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2.3传输协议：PWM内置接收模块</w:t>
      </w:r>
    </w:p>
    <w:p w14:paraId="264980B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2.4取水容量：≥2.5L（可定制）</w:t>
      </w:r>
    </w:p>
    <w:p w14:paraId="76C4395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2.5 传输距离：915mhz实时回传，效果距离可以达到5 km</w:t>
      </w:r>
    </w:p>
    <w:p w14:paraId="6F893416">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2.6有效载荷：最大载荷≥8kg</w:t>
      </w:r>
    </w:p>
    <w:p w14:paraId="4F292D95">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2.7供电：12V内置电源</w:t>
      </w:r>
    </w:p>
    <w:p w14:paraId="55E2103B">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2.8智能保护：限位传感器、拉力传感器、短路传感器、保险开关</w:t>
      </w:r>
    </w:p>
    <w:p w14:paraId="509A033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2.9固定方式：快拆固定无人机下方</w:t>
      </w:r>
    </w:p>
    <w:p w14:paraId="788D0E1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★2.10定深采水：取水器搭载智能芯片，可实时回传锁定采水深度（提供证明材料）。</w:t>
      </w:r>
    </w:p>
    <w:p w14:paraId="72A597AE">
      <w:pPr>
        <w:pageBreakBefore w:val="0"/>
        <w:kinsoku/>
        <w:wordWrap/>
        <w:overflowPunct/>
        <w:topLinePunct w:val="0"/>
        <w:bidi w:val="0"/>
        <w:spacing w:line="320" w:lineRule="exact"/>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★2.11必须兼容和适配现有“XR-MW6E1H型水星X6多旋翼无人机”</w:t>
      </w:r>
      <w:r>
        <w:rPr>
          <w:rFonts w:hint="eastAsia" w:ascii="宋体" w:hAnsi="宋体" w:eastAsia="宋体" w:cs="宋体"/>
          <w:b/>
          <w:bCs/>
          <w:color w:val="auto"/>
          <w:sz w:val="21"/>
          <w:szCs w:val="21"/>
        </w:rPr>
        <w:t>。</w:t>
      </w:r>
    </w:p>
    <w:p w14:paraId="12807951">
      <w:pPr>
        <w:pageBreakBefore w:val="0"/>
        <w:kinsoku/>
        <w:wordWrap/>
        <w:overflowPunct/>
        <w:topLinePunct w:val="0"/>
        <w:bidi w:val="0"/>
        <w:spacing w:line="320" w:lineRule="exact"/>
        <w:ind w:firstLine="562"/>
        <w:rPr>
          <w:rFonts w:hint="eastAsia" w:ascii="宋体" w:hAnsi="宋体" w:eastAsia="宋体" w:cs="宋体"/>
          <w:b/>
          <w:bCs/>
          <w:color w:val="auto"/>
          <w:sz w:val="21"/>
          <w:szCs w:val="21"/>
        </w:rPr>
      </w:pPr>
      <w:r>
        <w:rPr>
          <w:rFonts w:hint="eastAsia" w:ascii="宋体" w:hAnsi="宋体" w:eastAsia="宋体" w:cs="宋体"/>
          <w:b/>
          <w:bCs/>
          <w:color w:val="auto"/>
          <w:kern w:val="0"/>
          <w:sz w:val="21"/>
          <w:szCs w:val="21"/>
          <w:lang w:val="en-US" w:eastAsia="zh-CN"/>
        </w:rPr>
        <w:t>3</w:t>
      </w:r>
      <w:r>
        <w:rPr>
          <w:rFonts w:hint="eastAsia" w:ascii="宋体" w:hAnsi="宋体" w:eastAsia="宋体" w:cs="宋体"/>
          <w:b/>
          <w:bCs/>
          <w:color w:val="auto"/>
          <w:kern w:val="0"/>
          <w:sz w:val="21"/>
          <w:szCs w:val="21"/>
          <w:lang w:eastAsia="zh-CN"/>
        </w:rPr>
        <w:t>.</w:t>
      </w:r>
      <w:r>
        <w:rPr>
          <w:rFonts w:hint="eastAsia" w:ascii="宋体" w:hAnsi="宋体" w:eastAsia="宋体" w:cs="宋体"/>
          <w:b/>
          <w:bCs/>
          <w:color w:val="auto"/>
          <w:kern w:val="0"/>
          <w:sz w:val="21"/>
          <w:szCs w:val="21"/>
        </w:rPr>
        <w:t>配置清单</w:t>
      </w:r>
    </w:p>
    <w:tbl>
      <w:tblPr>
        <w:tblStyle w:val="62"/>
        <w:tblW w:w="8272"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5528"/>
        <w:gridCol w:w="2035"/>
      </w:tblGrid>
      <w:tr w14:paraId="01A53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715C6809">
            <w:pPr>
              <w:pageBreakBefore w:val="0"/>
              <w:kinsoku/>
              <w:wordWrap/>
              <w:overflowPunct/>
              <w:topLinePunct w:val="0"/>
              <w:bidi w:val="0"/>
              <w:spacing w:before="62" w:beforeLines="20" w:after="62" w:afterLines="20" w:line="320" w:lineRule="exact"/>
              <w:ind w:firstLine="0" w:firstLineChars="0"/>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序号</w:t>
            </w:r>
          </w:p>
        </w:tc>
        <w:tc>
          <w:tcPr>
            <w:tcW w:w="5528" w:type="dxa"/>
            <w:vAlign w:val="center"/>
          </w:tcPr>
          <w:p w14:paraId="4DA54056">
            <w:pPr>
              <w:pageBreakBefore w:val="0"/>
              <w:kinsoku/>
              <w:wordWrap/>
              <w:overflowPunct/>
              <w:topLinePunct w:val="0"/>
              <w:bidi w:val="0"/>
              <w:spacing w:before="62" w:beforeLines="20" w:after="62" w:afterLines="20" w:line="320" w:lineRule="exact"/>
              <w:ind w:firstLine="482"/>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商品名称</w:t>
            </w:r>
          </w:p>
        </w:tc>
        <w:tc>
          <w:tcPr>
            <w:tcW w:w="2035" w:type="dxa"/>
            <w:vAlign w:val="center"/>
          </w:tcPr>
          <w:p w14:paraId="5FD9D363">
            <w:pPr>
              <w:pageBreakBefore w:val="0"/>
              <w:kinsoku/>
              <w:wordWrap/>
              <w:overflowPunct/>
              <w:topLinePunct w:val="0"/>
              <w:bidi w:val="0"/>
              <w:spacing w:before="62" w:beforeLines="20" w:after="62" w:afterLines="20" w:line="320" w:lineRule="exact"/>
              <w:ind w:firstLine="0" w:firstLineChars="0"/>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数量</w:t>
            </w:r>
          </w:p>
        </w:tc>
      </w:tr>
      <w:tr w14:paraId="5C700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709" w:type="dxa"/>
          </w:tcPr>
          <w:p w14:paraId="468F1965">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1</w:t>
            </w:r>
          </w:p>
        </w:tc>
        <w:tc>
          <w:tcPr>
            <w:tcW w:w="5528" w:type="dxa"/>
            <w:vAlign w:val="center"/>
          </w:tcPr>
          <w:p w14:paraId="561D1250">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无人机采水模块</w:t>
            </w:r>
          </w:p>
        </w:tc>
        <w:tc>
          <w:tcPr>
            <w:tcW w:w="2035" w:type="dxa"/>
            <w:vAlign w:val="center"/>
          </w:tcPr>
          <w:p w14:paraId="647194E0">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1</w:t>
            </w:r>
          </w:p>
        </w:tc>
      </w:tr>
      <w:tr w14:paraId="3758A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tcPr>
          <w:p w14:paraId="651B0CB1">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2</w:t>
            </w:r>
          </w:p>
        </w:tc>
        <w:tc>
          <w:tcPr>
            <w:tcW w:w="5528" w:type="dxa"/>
            <w:vAlign w:val="center"/>
          </w:tcPr>
          <w:p w14:paraId="2C021362">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独立遥控器</w:t>
            </w:r>
          </w:p>
        </w:tc>
        <w:tc>
          <w:tcPr>
            <w:tcW w:w="2035" w:type="dxa"/>
            <w:vAlign w:val="center"/>
          </w:tcPr>
          <w:p w14:paraId="6D6C9797">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1</w:t>
            </w:r>
          </w:p>
        </w:tc>
      </w:tr>
      <w:tr w14:paraId="739EA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14:paraId="34A62804">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p>
        </w:tc>
        <w:tc>
          <w:tcPr>
            <w:tcW w:w="5528" w:type="dxa"/>
            <w:vAlign w:val="center"/>
          </w:tcPr>
          <w:p w14:paraId="5C0014B9">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采样主机</w:t>
            </w:r>
          </w:p>
        </w:tc>
        <w:tc>
          <w:tcPr>
            <w:tcW w:w="2035" w:type="dxa"/>
            <w:vAlign w:val="center"/>
          </w:tcPr>
          <w:p w14:paraId="6383707C">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1</w:t>
            </w:r>
          </w:p>
        </w:tc>
      </w:tr>
      <w:tr w14:paraId="459C8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14:paraId="6A8A104A">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p>
        </w:tc>
        <w:tc>
          <w:tcPr>
            <w:tcW w:w="5528" w:type="dxa"/>
            <w:vAlign w:val="center"/>
          </w:tcPr>
          <w:p w14:paraId="49110A01">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采水罐</w:t>
            </w:r>
          </w:p>
        </w:tc>
        <w:tc>
          <w:tcPr>
            <w:tcW w:w="2035" w:type="dxa"/>
            <w:vAlign w:val="center"/>
          </w:tcPr>
          <w:p w14:paraId="0BB1AA6F">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2</w:t>
            </w:r>
          </w:p>
        </w:tc>
      </w:tr>
      <w:tr w14:paraId="334C8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14:paraId="1218A868">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p>
        </w:tc>
        <w:tc>
          <w:tcPr>
            <w:tcW w:w="5528" w:type="dxa"/>
            <w:vAlign w:val="center"/>
          </w:tcPr>
          <w:p w14:paraId="1075AA74">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充电器</w:t>
            </w:r>
          </w:p>
        </w:tc>
        <w:tc>
          <w:tcPr>
            <w:tcW w:w="2035" w:type="dxa"/>
            <w:vAlign w:val="center"/>
          </w:tcPr>
          <w:p w14:paraId="5EE30BED">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1</w:t>
            </w:r>
          </w:p>
        </w:tc>
      </w:tr>
      <w:tr w14:paraId="5CAE4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14:paraId="6F22AE45">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p>
        </w:tc>
        <w:tc>
          <w:tcPr>
            <w:tcW w:w="5528" w:type="dxa"/>
            <w:vAlign w:val="center"/>
          </w:tcPr>
          <w:p w14:paraId="04EF5258">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航空箱</w:t>
            </w:r>
          </w:p>
        </w:tc>
        <w:tc>
          <w:tcPr>
            <w:tcW w:w="2035" w:type="dxa"/>
            <w:vAlign w:val="center"/>
          </w:tcPr>
          <w:p w14:paraId="18430047">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1</w:t>
            </w:r>
          </w:p>
        </w:tc>
      </w:tr>
      <w:tr w14:paraId="75C30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14:paraId="2225081B">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p>
        </w:tc>
        <w:tc>
          <w:tcPr>
            <w:tcW w:w="5528" w:type="dxa"/>
            <w:vAlign w:val="center"/>
          </w:tcPr>
          <w:p w14:paraId="7700F81B">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软管</w:t>
            </w:r>
          </w:p>
        </w:tc>
        <w:tc>
          <w:tcPr>
            <w:tcW w:w="2035" w:type="dxa"/>
            <w:vAlign w:val="center"/>
          </w:tcPr>
          <w:p w14:paraId="6B793921">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2</w:t>
            </w:r>
          </w:p>
        </w:tc>
      </w:tr>
      <w:tr w14:paraId="38513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5CBD27B2">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3</w:t>
            </w:r>
          </w:p>
        </w:tc>
        <w:tc>
          <w:tcPr>
            <w:tcW w:w="5528" w:type="dxa"/>
            <w:vAlign w:val="center"/>
          </w:tcPr>
          <w:p w14:paraId="40FBE280">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随机附件</w:t>
            </w:r>
          </w:p>
        </w:tc>
        <w:tc>
          <w:tcPr>
            <w:tcW w:w="2035" w:type="dxa"/>
            <w:vAlign w:val="center"/>
          </w:tcPr>
          <w:p w14:paraId="59DAA71C">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1</w:t>
            </w:r>
          </w:p>
        </w:tc>
      </w:tr>
      <w:tr w14:paraId="62F08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2E12C9F6">
            <w:pPr>
              <w:pageBreakBefore w:val="0"/>
              <w:kinsoku/>
              <w:wordWrap/>
              <w:overflowPunct/>
              <w:topLinePunct w:val="0"/>
              <w:bidi w:val="0"/>
              <w:spacing w:line="320" w:lineRule="exact"/>
              <w:ind w:firstLine="0" w:firstLineChars="0"/>
              <w:jc w:val="center"/>
              <w:rPr>
                <w:rFonts w:hint="eastAsia" w:ascii="宋体" w:hAnsi="宋体" w:eastAsia="宋体" w:cs="宋体"/>
                <w:b w:val="0"/>
                <w:bCs w:val="0"/>
                <w:color w:val="auto"/>
                <w:kern w:val="0"/>
                <w:sz w:val="21"/>
                <w:szCs w:val="21"/>
              </w:rPr>
            </w:pPr>
            <w:r>
              <w:rPr>
                <w:rFonts w:hint="eastAsia" w:ascii="宋体" w:hAnsi="宋体" w:eastAsia="宋体" w:cs="宋体"/>
                <w:b w:val="0"/>
                <w:bCs w:val="0"/>
                <w:color w:val="auto"/>
                <w:kern w:val="0"/>
                <w:sz w:val="21"/>
                <w:szCs w:val="21"/>
              </w:rPr>
              <w:t>4</w:t>
            </w:r>
          </w:p>
        </w:tc>
        <w:tc>
          <w:tcPr>
            <w:tcW w:w="5528" w:type="dxa"/>
            <w:vAlign w:val="center"/>
          </w:tcPr>
          <w:p w14:paraId="2159F07E">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安装、调试、培训说明书</w:t>
            </w:r>
          </w:p>
        </w:tc>
        <w:tc>
          <w:tcPr>
            <w:tcW w:w="2035" w:type="dxa"/>
            <w:vAlign w:val="center"/>
          </w:tcPr>
          <w:p w14:paraId="555E7FF1">
            <w:pPr>
              <w:spacing w:before="62" w:beforeLines="20" w:after="62" w:afterLines="20" w:line="240" w:lineRule="auto"/>
              <w:ind w:firstLine="48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Cs w:val="21"/>
              </w:rPr>
              <w:t>1</w:t>
            </w:r>
          </w:p>
        </w:tc>
      </w:tr>
    </w:tbl>
    <w:p w14:paraId="010E129A">
      <w:pPr>
        <w:pageBreakBefore w:val="0"/>
        <w:numPr>
          <w:ilvl w:val="0"/>
          <w:numId w:val="0"/>
        </w:numPr>
        <w:kinsoku/>
        <w:wordWrap/>
        <w:overflowPunct/>
        <w:topLinePunct w:val="0"/>
        <w:autoSpaceDE w:val="0"/>
        <w:autoSpaceDN w:val="0"/>
        <w:bidi w:val="0"/>
        <w:adjustRightInd w:val="0"/>
        <w:spacing w:line="320" w:lineRule="exact"/>
        <w:ind w:firstLine="422" w:firstLineChars="200"/>
        <w:jc w:val="left"/>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val="en-US" w:eastAsia="zh-CN"/>
        </w:rPr>
        <w:t>4.</w:t>
      </w:r>
      <w:r>
        <w:rPr>
          <w:rFonts w:hint="eastAsia" w:ascii="宋体" w:hAnsi="宋体" w:eastAsia="宋体" w:cs="宋体"/>
          <w:b/>
          <w:bCs/>
          <w:color w:val="auto"/>
          <w:kern w:val="0"/>
          <w:sz w:val="21"/>
          <w:szCs w:val="21"/>
          <w:lang w:eastAsia="zh-CN"/>
        </w:rPr>
        <w:t>售后服务</w:t>
      </w:r>
    </w:p>
    <w:p w14:paraId="6055CBD0">
      <w:pPr>
        <w:pageBreakBefore w:val="0"/>
        <w:kinsoku/>
        <w:wordWrap/>
        <w:overflowPunct/>
        <w:topLinePunct w:val="0"/>
        <w:bidi w:val="0"/>
        <w:spacing w:line="320" w:lineRule="exact"/>
        <w:ind w:firstLine="420" w:firstLineChars="20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1</w:t>
      </w:r>
      <w:r>
        <w:rPr>
          <w:rFonts w:hint="eastAsia" w:ascii="宋体" w:hAnsi="宋体" w:eastAsia="宋体" w:cs="宋体"/>
          <w:color w:val="auto"/>
          <w:kern w:val="2"/>
          <w:sz w:val="21"/>
          <w:szCs w:val="21"/>
          <w:lang w:eastAsia="zh-CN"/>
        </w:rPr>
        <w:t>）技术人员到现场免费进行安装调试整个系统，确保仪器技术指标验收合格，并现场培训基本操作技术。</w:t>
      </w:r>
    </w:p>
    <w:p w14:paraId="4EED22E6">
      <w:pPr>
        <w:pageBreakBefore w:val="0"/>
        <w:kinsoku/>
        <w:wordWrap/>
        <w:overflowPunct/>
        <w:topLinePunct w:val="0"/>
        <w:bidi w:val="0"/>
        <w:spacing w:line="320" w:lineRule="exact"/>
        <w:ind w:firstLine="420" w:firstLineChars="20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lang w:eastAsia="zh-CN"/>
        </w:rPr>
        <w:t>）仪器安装调试合格后提供保修期2年，仪器保修期应从填写验收合格书后第二天算起，制造厂方终生提供维修服务、技术支持和零配件供应。</w:t>
      </w:r>
    </w:p>
    <w:p w14:paraId="1664376B">
      <w:pPr>
        <w:pageBreakBefore w:val="0"/>
        <w:kinsoku/>
        <w:wordWrap/>
        <w:overflowPunct/>
        <w:topLinePunct w:val="0"/>
        <w:bidi w:val="0"/>
        <w:spacing w:line="320" w:lineRule="exact"/>
        <w:ind w:firstLine="420" w:firstLineChars="20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3</w:t>
      </w:r>
      <w:r>
        <w:rPr>
          <w:rFonts w:hint="eastAsia" w:ascii="宋体" w:hAnsi="宋体" w:eastAsia="宋体" w:cs="宋体"/>
          <w:color w:val="auto"/>
          <w:kern w:val="2"/>
          <w:sz w:val="21"/>
          <w:szCs w:val="21"/>
          <w:lang w:eastAsia="zh-CN"/>
        </w:rPr>
        <w:t>）公司为用户提供至少2人次免费操作技术培训，为用户提供</w:t>
      </w:r>
      <w:r>
        <w:rPr>
          <w:rFonts w:hint="eastAsia" w:ascii="宋体" w:hAnsi="宋体" w:eastAsia="宋体" w:cs="宋体"/>
          <w:color w:val="auto"/>
          <w:kern w:val="2"/>
          <w:sz w:val="21"/>
          <w:szCs w:val="21"/>
          <w:lang w:val="en-US" w:eastAsia="zh-CN"/>
        </w:rPr>
        <w:t>3人次无人机培训并获证</w:t>
      </w:r>
      <w:r>
        <w:rPr>
          <w:rFonts w:hint="eastAsia" w:ascii="宋体" w:hAnsi="宋体" w:eastAsia="宋体" w:cs="宋体"/>
          <w:color w:val="auto"/>
          <w:kern w:val="2"/>
          <w:sz w:val="21"/>
          <w:szCs w:val="21"/>
          <w:lang w:eastAsia="zh-CN"/>
        </w:rPr>
        <w:t>。</w:t>
      </w:r>
    </w:p>
    <w:p w14:paraId="20D4377A">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4</w:t>
      </w:r>
      <w:r>
        <w:rPr>
          <w:rFonts w:hint="eastAsia" w:ascii="宋体" w:hAnsi="宋体" w:eastAsia="宋体" w:cs="宋体"/>
          <w:color w:val="auto"/>
          <w:kern w:val="2"/>
          <w:sz w:val="21"/>
          <w:szCs w:val="21"/>
          <w:lang w:eastAsia="zh-CN"/>
        </w:rPr>
        <w:t>）在接到用户维修请求后，应能在4小时内做出快速响应，并在24小时内解决问题</w:t>
      </w:r>
      <w:r>
        <w:rPr>
          <w:rFonts w:hint="eastAsia" w:ascii="宋体" w:hAnsi="宋体" w:eastAsia="宋体" w:cs="宋体"/>
          <w:color w:val="auto"/>
          <w:kern w:val="2"/>
          <w:sz w:val="21"/>
          <w:szCs w:val="21"/>
        </w:rPr>
        <w:t>。</w:t>
      </w:r>
    </w:p>
    <w:p w14:paraId="64DFDBDE">
      <w:pPr>
        <w:pStyle w:val="4"/>
        <w:pageBreakBefore w:val="0"/>
        <w:kinsoku/>
        <w:wordWrap/>
        <w:overflowPunct/>
        <w:topLinePunct w:val="0"/>
        <w:bidi w:val="0"/>
        <w:spacing w:line="320" w:lineRule="exact"/>
        <w:ind w:right="-274"/>
        <w:jc w:val="both"/>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三</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凯氏定氮仪自动进样仪</w:t>
      </w:r>
    </w:p>
    <w:p w14:paraId="3A7D29D0">
      <w:pPr>
        <w:pageBreakBefore w:val="0"/>
        <w:kinsoku/>
        <w:wordWrap/>
        <w:overflowPunct/>
        <w:topLinePunct w:val="0"/>
        <w:autoSpaceDE w:val="0"/>
        <w:autoSpaceDN w:val="0"/>
        <w:bidi w:val="0"/>
        <w:adjustRightInd w:val="0"/>
        <w:spacing w:line="320" w:lineRule="exact"/>
        <w:ind w:firstLine="482"/>
        <w:jc w:val="left"/>
        <w:rPr>
          <w:rFonts w:hint="eastAsia"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1.设备用途</w:t>
      </w:r>
    </w:p>
    <w:p w14:paraId="40EA3F45">
      <w:pPr>
        <w:pageBreakBefore w:val="0"/>
        <w:kinsoku/>
        <w:wordWrap/>
        <w:overflowPunct/>
        <w:topLinePunct w:val="0"/>
        <w:autoSpaceDE w:val="0"/>
        <w:autoSpaceDN w:val="0"/>
        <w:bidi w:val="0"/>
        <w:adjustRightInd w:val="0"/>
        <w:spacing w:line="320" w:lineRule="exact"/>
        <w:ind w:firstLine="482"/>
        <w:jc w:val="left"/>
        <w:rPr>
          <w:rFonts w:hint="eastAsia"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用于实现凯氏定氮仪自动进样分析。</w:t>
      </w:r>
    </w:p>
    <w:p w14:paraId="14B60E35">
      <w:pPr>
        <w:pageBreakBefore w:val="0"/>
        <w:kinsoku/>
        <w:wordWrap/>
        <w:overflowPunct/>
        <w:topLinePunct w:val="0"/>
        <w:autoSpaceDE w:val="0"/>
        <w:autoSpaceDN w:val="0"/>
        <w:bidi w:val="0"/>
        <w:adjustRightInd w:val="0"/>
        <w:spacing w:line="320" w:lineRule="exact"/>
        <w:ind w:firstLine="482"/>
        <w:jc w:val="left"/>
        <w:rPr>
          <w:rFonts w:hint="eastAsia" w:ascii="宋体" w:hAnsi="宋体" w:eastAsia="宋体" w:cs="宋体"/>
          <w:b/>
          <w:color w:val="auto"/>
          <w:kern w:val="44"/>
          <w:sz w:val="21"/>
          <w:szCs w:val="21"/>
          <w:lang w:val="en-US" w:eastAsia="zh-CN" w:bidi="ar-SA"/>
        </w:rPr>
      </w:pPr>
      <w:r>
        <w:rPr>
          <w:rFonts w:hint="eastAsia" w:ascii="宋体" w:hAnsi="宋体" w:eastAsia="宋体" w:cs="宋体"/>
          <w:b/>
          <w:color w:val="auto"/>
          <w:kern w:val="44"/>
          <w:sz w:val="21"/>
          <w:szCs w:val="21"/>
          <w:lang w:val="en-US" w:eastAsia="zh-CN" w:bidi="ar-SA"/>
        </w:rPr>
        <w:t>2.功能参数</w:t>
      </w:r>
    </w:p>
    <w:p w14:paraId="22BFE3A4">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2.1进样器容量：不小于300ml消化管；</w:t>
      </w:r>
    </w:p>
    <w:p w14:paraId="6D922ACB">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2.2批次处理：具有批次处理能力，批次可实现处理≤20个样品及≤4次清洗，实现无人值守工作；</w:t>
      </w:r>
    </w:p>
    <w:p w14:paraId="6E3B7BB8">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2.3转盘速度：≥0.04r/s；</w:t>
      </w:r>
    </w:p>
    <w:p w14:paraId="6AECF2F9">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2.4消化管顶杆顶出速度：≥40mm/s；</w:t>
      </w:r>
    </w:p>
    <w:p w14:paraId="78D59A35">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2.5进样器内置溶液桶容积：不小于15L溶液桶；</w:t>
      </w:r>
    </w:p>
    <w:p w14:paraId="7456FE4C">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2.6消化管上升位置由双传感器共同控制，保证消化管位置的准确性；</w:t>
      </w:r>
    </w:p>
    <w:p w14:paraId="130691D5">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2.7接口：CAN；</w:t>
      </w:r>
    </w:p>
    <w:p w14:paraId="294B01FA">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2.8 具备进样器监测功能，实时监测进样器状态，保证实验安全；</w:t>
      </w:r>
    </w:p>
    <w:p w14:paraId="1DA23454">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2.9 须匹配现有的全自动凯氏定氮仪，实现自动进样功能。</w:t>
      </w:r>
    </w:p>
    <w:p w14:paraId="70779280">
      <w:pPr>
        <w:pageBreakBefore w:val="0"/>
        <w:kinsoku/>
        <w:wordWrap/>
        <w:overflowPunct/>
        <w:topLinePunct w:val="0"/>
        <w:bidi w:val="0"/>
        <w:spacing w:line="320" w:lineRule="exact"/>
        <w:ind w:firstLine="482"/>
        <w:rPr>
          <w:rFonts w:hint="eastAsia" w:ascii="宋体" w:hAnsi="宋体" w:eastAsia="宋体" w:cs="宋体"/>
          <w:b/>
          <w:bCs/>
          <w:color w:val="auto"/>
          <w:sz w:val="21"/>
          <w:szCs w:val="21"/>
        </w:rPr>
      </w:pPr>
      <w:r>
        <w:rPr>
          <w:rFonts w:hint="eastAsia" w:ascii="宋体" w:hAnsi="宋体" w:eastAsia="宋体" w:cs="宋体"/>
          <w:b/>
          <w:bCs/>
          <w:color w:val="auto"/>
          <w:sz w:val="21"/>
          <w:szCs w:val="21"/>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详细配置</w:t>
      </w:r>
    </w:p>
    <w:p w14:paraId="7600EC85">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3.1 自动进样器主机 1台；</w:t>
      </w:r>
    </w:p>
    <w:p w14:paraId="529A3E2C">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3.2 废液盒 1个；</w:t>
      </w:r>
    </w:p>
    <w:p w14:paraId="3BDB5A3A">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3.3 其他配件 1套；</w:t>
      </w:r>
    </w:p>
    <w:p w14:paraId="0F73BED7">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3.4 消化管24支；</w:t>
      </w:r>
    </w:p>
    <w:p w14:paraId="573FAFAC">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3.5 溶液桶4个。</w:t>
      </w:r>
    </w:p>
    <w:p w14:paraId="485B6C2E">
      <w:pPr>
        <w:pageBreakBefore w:val="0"/>
        <w:kinsoku/>
        <w:wordWrap/>
        <w:overflowPunct/>
        <w:topLinePunct w:val="0"/>
        <w:autoSpaceDE w:val="0"/>
        <w:autoSpaceDN w:val="0"/>
        <w:bidi w:val="0"/>
        <w:adjustRightInd w:val="0"/>
        <w:spacing w:line="320" w:lineRule="exact"/>
        <w:ind w:firstLine="482"/>
        <w:jc w:val="left"/>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val="en-US" w:eastAsia="zh-CN"/>
        </w:rPr>
        <w:t>4</w:t>
      </w:r>
      <w:r>
        <w:rPr>
          <w:rFonts w:hint="eastAsia" w:ascii="宋体" w:hAnsi="宋体" w:eastAsia="宋体" w:cs="宋体"/>
          <w:b/>
          <w:bCs/>
          <w:color w:val="auto"/>
          <w:kern w:val="0"/>
          <w:sz w:val="21"/>
          <w:szCs w:val="21"/>
          <w:lang w:eastAsia="zh-CN"/>
        </w:rPr>
        <w:t>.</w:t>
      </w:r>
      <w:r>
        <w:rPr>
          <w:rFonts w:hint="eastAsia" w:ascii="宋体" w:hAnsi="宋体" w:eastAsia="宋体" w:cs="宋体"/>
          <w:b/>
          <w:bCs/>
          <w:color w:val="auto"/>
          <w:kern w:val="0"/>
          <w:sz w:val="21"/>
          <w:szCs w:val="21"/>
        </w:rPr>
        <w:t xml:space="preserve"> </w:t>
      </w:r>
      <w:r>
        <w:rPr>
          <w:rFonts w:hint="eastAsia" w:ascii="宋体" w:hAnsi="宋体" w:eastAsia="宋体" w:cs="宋体"/>
          <w:b/>
          <w:bCs/>
          <w:color w:val="auto"/>
          <w:kern w:val="0"/>
          <w:sz w:val="21"/>
          <w:szCs w:val="21"/>
          <w:lang w:eastAsia="zh-CN"/>
        </w:rPr>
        <w:t>售后服务</w:t>
      </w:r>
    </w:p>
    <w:p w14:paraId="2F4A17DB">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1</w:t>
      </w:r>
      <w:r>
        <w:rPr>
          <w:rFonts w:hint="eastAsia" w:ascii="宋体" w:hAnsi="宋体" w:eastAsia="宋体" w:cs="宋体"/>
          <w:color w:val="auto"/>
          <w:kern w:val="2"/>
          <w:sz w:val="21"/>
          <w:szCs w:val="21"/>
          <w:lang w:eastAsia="zh-CN"/>
        </w:rPr>
        <w:t>）技术人员到现场免费进行安装调试整个系统，确保仪器技术指标验收合格，并现场培训基本操作技术。</w:t>
      </w:r>
    </w:p>
    <w:p w14:paraId="0989C6A0">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lang w:eastAsia="zh-CN"/>
        </w:rPr>
        <w:t>）仪器安装调试合格后提供保修期2年，仪器保修期应从填写验收合格书后第二天算起，制造厂方终生提供维修服务、技术支持和零配件供应。</w:t>
      </w:r>
    </w:p>
    <w:p w14:paraId="6C7C34CB">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3</w:t>
      </w:r>
      <w:r>
        <w:rPr>
          <w:rFonts w:hint="eastAsia" w:ascii="宋体" w:hAnsi="宋体" w:eastAsia="宋体" w:cs="宋体"/>
          <w:color w:val="auto"/>
          <w:kern w:val="2"/>
          <w:sz w:val="21"/>
          <w:szCs w:val="21"/>
          <w:lang w:eastAsia="zh-CN"/>
        </w:rPr>
        <w:t>）公司为用户提供至少2人次免费操作技术培训。</w:t>
      </w:r>
    </w:p>
    <w:p w14:paraId="21B8A292">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4</w:t>
      </w:r>
      <w:r>
        <w:rPr>
          <w:rFonts w:hint="eastAsia" w:ascii="宋体" w:hAnsi="宋体" w:eastAsia="宋体" w:cs="宋体"/>
          <w:color w:val="auto"/>
          <w:kern w:val="2"/>
          <w:sz w:val="21"/>
          <w:szCs w:val="21"/>
          <w:lang w:eastAsia="zh-CN"/>
        </w:rPr>
        <w:t>）在接到用户维修请求后，应能在4小时内做出快速响应，并在24小时内解决问题。</w:t>
      </w:r>
    </w:p>
    <w:p w14:paraId="26DACF21">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（5）仪器设备应能够接入实验室LIMS系统，保持通讯协议开放。</w:t>
      </w:r>
    </w:p>
    <w:p w14:paraId="07E7F572">
      <w:pPr>
        <w:pStyle w:val="4"/>
        <w:pageBreakBefore w:val="0"/>
        <w:kinsoku/>
        <w:wordWrap/>
        <w:overflowPunct/>
        <w:topLinePunct w:val="0"/>
        <w:bidi w:val="0"/>
        <w:spacing w:line="320" w:lineRule="exact"/>
        <w:ind w:right="-274"/>
        <w:jc w:val="both"/>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（四）振荡器</w:t>
      </w:r>
      <w:r>
        <w:rPr>
          <w:rFonts w:hint="eastAsia" w:ascii="宋体" w:hAnsi="宋体" w:eastAsia="宋体" w:cs="宋体"/>
          <w:color w:val="auto"/>
          <w:sz w:val="21"/>
          <w:szCs w:val="21"/>
        </w:rPr>
        <w:t xml:space="preserve"> </w:t>
      </w:r>
    </w:p>
    <w:p w14:paraId="57150CF4">
      <w:pPr>
        <w:pageBreakBefore w:val="0"/>
        <w:kinsoku/>
        <w:wordWrap/>
        <w:overflowPunct/>
        <w:topLinePunct w:val="0"/>
        <w:bidi w:val="0"/>
        <w:spacing w:line="320" w:lineRule="exact"/>
        <w:ind w:left="482" w:firstLine="0" w:firstLineChars="0"/>
        <w:jc w:val="left"/>
        <w:rPr>
          <w:rFonts w:hint="eastAsia" w:ascii="宋体" w:hAnsi="宋体" w:eastAsia="宋体" w:cs="宋体"/>
          <w:b/>
          <w:color w:val="auto"/>
          <w:sz w:val="21"/>
          <w:szCs w:val="21"/>
        </w:rPr>
      </w:pPr>
      <w:r>
        <w:rPr>
          <w:rFonts w:hint="eastAsia" w:ascii="宋体" w:hAnsi="宋体" w:eastAsia="宋体" w:cs="宋体"/>
          <w:b/>
          <w:color w:val="auto"/>
          <w:sz w:val="21"/>
          <w:szCs w:val="21"/>
        </w:rPr>
        <w:t>1</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设备用途</w:t>
      </w:r>
    </w:p>
    <w:p w14:paraId="15C87E71">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分液漏斗垂直振荡器能实现自动摇动分液漏斗，完成液液萃取、样品混匀等实验过程。工作时间可设定，频率可调；可批量处理样品，提高效率；最大限度减少操作人员接触化学试剂，保护人身安全。</w:t>
      </w:r>
    </w:p>
    <w:p w14:paraId="1DE523E1">
      <w:pPr>
        <w:pageBreakBefore w:val="0"/>
        <w:kinsoku/>
        <w:wordWrap/>
        <w:overflowPunct/>
        <w:topLinePunct w:val="0"/>
        <w:bidi w:val="0"/>
        <w:spacing w:line="320" w:lineRule="exact"/>
        <w:ind w:left="482" w:firstLine="0" w:firstLineChars="0"/>
        <w:jc w:val="left"/>
        <w:rPr>
          <w:rFonts w:hint="eastAsia" w:ascii="宋体" w:hAnsi="宋体" w:eastAsia="宋体" w:cs="宋体"/>
          <w:b/>
          <w:color w:val="auto"/>
          <w:sz w:val="21"/>
          <w:szCs w:val="21"/>
        </w:rPr>
      </w:pPr>
      <w:r>
        <w:rPr>
          <w:rFonts w:hint="eastAsia" w:ascii="宋体" w:hAnsi="宋体" w:eastAsia="宋体" w:cs="宋体"/>
          <w:b/>
          <w:color w:val="auto"/>
          <w:sz w:val="21"/>
          <w:szCs w:val="21"/>
        </w:rPr>
        <w:t>2</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技术参数</w:t>
      </w:r>
    </w:p>
    <w:p w14:paraId="7981E719">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1.振荡方式：垂直振荡或倾斜振荡可选，倾斜角度0-20度；有度数刻度线。</w:t>
      </w:r>
    </w:p>
    <w:p w14:paraId="4CF16DB1">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2.配备伺服电机，控制速度精确±1%。</w:t>
      </w:r>
    </w:p>
    <w:p w14:paraId="36F83513">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3.操作方式：操作简单观察直观；操作界面具备加密锁定功能，避免重复操作和人为误操作。</w:t>
      </w:r>
    </w:p>
    <w:p w14:paraId="2DC571BC">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4.无级调速，振荡频率范围：0-350rpm（内转0-2000转），频率精度±1rpm。</w:t>
      </w:r>
    </w:p>
    <w:p w14:paraId="1EA23098">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5.定时器时间：0-99小时。</w:t>
      </w:r>
    </w:p>
    <w:p w14:paraId="577BEA97">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6.弹性无级可调一体式夹具，可自由滑动，适用于分液漏斗、容量瓶、三角瓶、具塞量筒、比色管、试管、离心管等。</w:t>
      </w:r>
    </w:p>
    <w:p w14:paraId="5C34D831">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7.样品位数：不少于6位。</w:t>
      </w:r>
    </w:p>
    <w:p w14:paraId="445CE7FF">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8.样品容量：0-1000ml。</w:t>
      </w:r>
    </w:p>
    <w:p w14:paraId="26687DA6">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9.振荡幅度0-40mm</w:t>
      </w:r>
    </w:p>
    <w:p w14:paraId="3B8C426E">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10.装有防护罩，可自动放气，无需手动放气。</w:t>
      </w:r>
    </w:p>
    <w:p w14:paraId="04DB5DA1">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11.耐酸碱，耐腐蚀</w:t>
      </w:r>
      <w:r>
        <w:rPr>
          <w:rFonts w:hint="eastAsia" w:ascii="宋体" w:hAnsi="宋体" w:eastAsia="宋体" w:cs="宋体"/>
          <w:color w:val="auto"/>
          <w:sz w:val="21"/>
          <w:szCs w:val="21"/>
          <w:lang w:val="en-US" w:eastAsia="zh-CN"/>
        </w:rPr>
        <w:t>材质</w:t>
      </w:r>
      <w:r>
        <w:rPr>
          <w:rFonts w:hint="eastAsia" w:ascii="宋体" w:hAnsi="宋体" w:eastAsia="宋体" w:cs="宋体"/>
          <w:color w:val="auto"/>
          <w:sz w:val="21"/>
          <w:szCs w:val="21"/>
        </w:rPr>
        <w:t>。</w:t>
      </w:r>
    </w:p>
    <w:p w14:paraId="3A3F9219">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12.分液漏斗架可以放置1000ml*6分液漏斗。</w:t>
      </w:r>
    </w:p>
    <w:p w14:paraId="28D7387B">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13.程序可设定可存储，可以保存9种以内的萃取方案。</w:t>
      </w:r>
    </w:p>
    <w:p w14:paraId="4AF752DF">
      <w:pPr>
        <w:pageBreakBefore w:val="0"/>
        <w:kinsoku/>
        <w:wordWrap/>
        <w:overflowPunct/>
        <w:topLinePunct w:val="0"/>
        <w:bidi w:val="0"/>
        <w:spacing w:line="320" w:lineRule="exact"/>
        <w:ind w:firstLine="482"/>
        <w:rPr>
          <w:rFonts w:hint="eastAsia" w:ascii="宋体" w:hAnsi="宋体" w:eastAsia="宋体" w:cs="宋体"/>
          <w:color w:val="auto"/>
          <w:sz w:val="21"/>
          <w:szCs w:val="21"/>
        </w:rPr>
      </w:pPr>
      <w:r>
        <w:rPr>
          <w:rFonts w:hint="eastAsia" w:ascii="宋体" w:hAnsi="宋体" w:eastAsia="宋体" w:cs="宋体"/>
          <w:b/>
          <w:color w:val="auto"/>
          <w:sz w:val="21"/>
          <w:szCs w:val="21"/>
        </w:rPr>
        <w:t>3</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 xml:space="preserve">基本配置 </w:t>
      </w:r>
    </w:p>
    <w:tbl>
      <w:tblPr>
        <w:tblStyle w:val="62"/>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5784"/>
        <w:gridCol w:w="989"/>
        <w:gridCol w:w="989"/>
      </w:tblGrid>
      <w:tr w14:paraId="345F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vAlign w:val="center"/>
          </w:tcPr>
          <w:p w14:paraId="4D9EBA58">
            <w:pPr>
              <w:pageBreakBefore w:val="0"/>
              <w:kinsoku/>
              <w:wordWrap/>
              <w:overflowPunct/>
              <w:topLinePunct w:val="0"/>
              <w:bidi w:val="0"/>
              <w:spacing w:line="320" w:lineRule="exact"/>
              <w:ind w:firstLine="0" w:firstLineChars="0"/>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序号</w:t>
            </w:r>
          </w:p>
        </w:tc>
        <w:tc>
          <w:tcPr>
            <w:tcW w:w="5784" w:type="dxa"/>
            <w:vAlign w:val="center"/>
          </w:tcPr>
          <w:p w14:paraId="44CE0186">
            <w:pPr>
              <w:pageBreakBefore w:val="0"/>
              <w:kinsoku/>
              <w:wordWrap/>
              <w:overflowPunct/>
              <w:topLinePunct w:val="0"/>
              <w:bidi w:val="0"/>
              <w:spacing w:line="320" w:lineRule="exact"/>
              <w:ind w:firstLine="482"/>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名称</w:t>
            </w:r>
          </w:p>
        </w:tc>
        <w:tc>
          <w:tcPr>
            <w:tcW w:w="989" w:type="dxa"/>
            <w:vAlign w:val="center"/>
          </w:tcPr>
          <w:p w14:paraId="33A80717">
            <w:pPr>
              <w:pageBreakBefore w:val="0"/>
              <w:kinsoku/>
              <w:wordWrap/>
              <w:overflowPunct/>
              <w:topLinePunct w:val="0"/>
              <w:bidi w:val="0"/>
              <w:spacing w:line="320" w:lineRule="exact"/>
              <w:ind w:firstLine="0" w:firstLineChars="0"/>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单位</w:t>
            </w:r>
          </w:p>
        </w:tc>
        <w:tc>
          <w:tcPr>
            <w:tcW w:w="989" w:type="dxa"/>
            <w:vAlign w:val="center"/>
          </w:tcPr>
          <w:p w14:paraId="08545CC7">
            <w:pPr>
              <w:pageBreakBefore w:val="0"/>
              <w:kinsoku/>
              <w:wordWrap/>
              <w:overflowPunct/>
              <w:topLinePunct w:val="0"/>
              <w:bidi w:val="0"/>
              <w:spacing w:line="320" w:lineRule="exact"/>
              <w:ind w:firstLine="0" w:firstLineChars="0"/>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数量</w:t>
            </w:r>
          </w:p>
        </w:tc>
      </w:tr>
      <w:tr w14:paraId="342E2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57" w:type="dxa"/>
            <w:vAlign w:val="center"/>
          </w:tcPr>
          <w:p w14:paraId="44E2DCDA">
            <w:pPr>
              <w:pageBreakBefore w:val="0"/>
              <w:kinsoku/>
              <w:wordWrap/>
              <w:overflowPunct/>
              <w:topLinePunct w:val="0"/>
              <w:bidi w:val="0"/>
              <w:spacing w:line="320" w:lineRule="exact"/>
              <w:ind w:firstLine="210" w:firstLineChars="10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5784" w:type="dxa"/>
            <w:vAlign w:val="center"/>
          </w:tcPr>
          <w:p w14:paraId="125DC6DF">
            <w:pPr>
              <w:pageBreakBefore w:val="0"/>
              <w:kinsoku/>
              <w:wordWrap/>
              <w:overflowPunct/>
              <w:topLinePunct w:val="0"/>
              <w:bidi w:val="0"/>
              <w:spacing w:line="320" w:lineRule="exact"/>
              <w:ind w:firstLine="48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分液漏斗垂直振荡器</w:t>
            </w:r>
          </w:p>
        </w:tc>
        <w:tc>
          <w:tcPr>
            <w:tcW w:w="989" w:type="dxa"/>
            <w:vAlign w:val="center"/>
          </w:tcPr>
          <w:p w14:paraId="506FCB63">
            <w:pPr>
              <w:pageBreakBefore w:val="0"/>
              <w:kinsoku/>
              <w:wordWrap/>
              <w:overflowPunct/>
              <w:topLinePunct w:val="0"/>
              <w:bidi w:val="0"/>
              <w:spacing w:line="32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台</w:t>
            </w:r>
          </w:p>
        </w:tc>
        <w:tc>
          <w:tcPr>
            <w:tcW w:w="989" w:type="dxa"/>
            <w:vAlign w:val="center"/>
          </w:tcPr>
          <w:p w14:paraId="3CBD2A8B">
            <w:pPr>
              <w:pageBreakBefore w:val="0"/>
              <w:kinsoku/>
              <w:wordWrap/>
              <w:overflowPunct/>
              <w:topLinePunct w:val="0"/>
              <w:bidi w:val="0"/>
              <w:spacing w:line="320" w:lineRule="exact"/>
              <w:ind w:firstLine="48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r>
    </w:tbl>
    <w:p w14:paraId="37A82BB7">
      <w:pPr>
        <w:pageBreakBefore w:val="0"/>
        <w:kinsoku/>
        <w:wordWrap/>
        <w:overflowPunct/>
        <w:topLinePunct w:val="0"/>
        <w:autoSpaceDE w:val="0"/>
        <w:autoSpaceDN w:val="0"/>
        <w:bidi w:val="0"/>
        <w:adjustRightInd w:val="0"/>
        <w:spacing w:line="320" w:lineRule="exact"/>
        <w:ind w:firstLine="482"/>
        <w:jc w:val="left"/>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val="en-US" w:eastAsia="zh-CN"/>
        </w:rPr>
        <w:t>4</w:t>
      </w:r>
      <w:r>
        <w:rPr>
          <w:rFonts w:hint="eastAsia" w:ascii="宋体" w:hAnsi="宋体" w:eastAsia="宋体" w:cs="宋体"/>
          <w:b/>
          <w:bCs/>
          <w:color w:val="auto"/>
          <w:kern w:val="0"/>
          <w:sz w:val="21"/>
          <w:szCs w:val="21"/>
          <w:lang w:eastAsia="zh-CN"/>
        </w:rPr>
        <w:t>.</w:t>
      </w:r>
      <w:r>
        <w:rPr>
          <w:rFonts w:hint="eastAsia" w:ascii="宋体" w:hAnsi="宋体" w:eastAsia="宋体" w:cs="宋体"/>
          <w:b/>
          <w:bCs/>
          <w:color w:val="auto"/>
          <w:kern w:val="0"/>
          <w:sz w:val="21"/>
          <w:szCs w:val="21"/>
        </w:rPr>
        <w:t xml:space="preserve"> </w:t>
      </w:r>
      <w:r>
        <w:rPr>
          <w:rFonts w:hint="eastAsia" w:ascii="宋体" w:hAnsi="宋体" w:eastAsia="宋体" w:cs="宋体"/>
          <w:b/>
          <w:bCs/>
          <w:color w:val="auto"/>
          <w:kern w:val="0"/>
          <w:sz w:val="21"/>
          <w:szCs w:val="21"/>
          <w:lang w:eastAsia="zh-CN"/>
        </w:rPr>
        <w:t>售后服务</w:t>
      </w:r>
    </w:p>
    <w:p w14:paraId="097213C4">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1</w:t>
      </w:r>
      <w:r>
        <w:rPr>
          <w:rFonts w:hint="eastAsia" w:ascii="宋体" w:hAnsi="宋体" w:eastAsia="宋体" w:cs="宋体"/>
          <w:color w:val="auto"/>
          <w:kern w:val="2"/>
          <w:sz w:val="21"/>
          <w:szCs w:val="21"/>
          <w:lang w:eastAsia="zh-CN"/>
        </w:rPr>
        <w:t>）技术人员到现场免费进行安装调试整个系统，确保仪器技术指标验收合格，并现场培训基本操作技术。</w:t>
      </w:r>
    </w:p>
    <w:p w14:paraId="7979E95A">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lang w:eastAsia="zh-CN"/>
        </w:rPr>
        <w:t>）仪器安装调试合格后提供保修期2年，仪器保修期应从填写验收合格书后第二天算起，制造厂方终生提供维修服务、技术支持和零配件供应。</w:t>
      </w:r>
    </w:p>
    <w:p w14:paraId="63BB305A">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3</w:t>
      </w:r>
      <w:r>
        <w:rPr>
          <w:rFonts w:hint="eastAsia" w:ascii="宋体" w:hAnsi="宋体" w:eastAsia="宋体" w:cs="宋体"/>
          <w:color w:val="auto"/>
          <w:kern w:val="2"/>
          <w:sz w:val="21"/>
          <w:szCs w:val="21"/>
          <w:lang w:eastAsia="zh-CN"/>
        </w:rPr>
        <w:t>）公司为用户提供至少2人次免费操作技术培训。</w:t>
      </w:r>
    </w:p>
    <w:p w14:paraId="18409C01">
      <w:pPr>
        <w:pageBreakBefore w:val="0"/>
        <w:kinsoku/>
        <w:wordWrap/>
        <w:overflowPunct/>
        <w:topLinePunct w:val="0"/>
        <w:bidi w:val="0"/>
        <w:spacing w:line="32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4</w:t>
      </w:r>
      <w:r>
        <w:rPr>
          <w:rFonts w:hint="eastAsia" w:ascii="宋体" w:hAnsi="宋体" w:eastAsia="宋体" w:cs="宋体"/>
          <w:color w:val="auto"/>
          <w:kern w:val="2"/>
          <w:sz w:val="21"/>
          <w:szCs w:val="21"/>
          <w:lang w:eastAsia="zh-CN"/>
        </w:rPr>
        <w:t>）在接到用户维修请求后，应能在4小时内做出快速响应，并在24小时内解决问题</w:t>
      </w:r>
      <w:r>
        <w:rPr>
          <w:rFonts w:hint="eastAsia" w:ascii="宋体" w:hAnsi="宋体" w:eastAsia="宋体" w:cs="宋体"/>
          <w:color w:val="auto"/>
          <w:kern w:val="2"/>
          <w:sz w:val="21"/>
          <w:szCs w:val="21"/>
        </w:rPr>
        <w:t>。</w:t>
      </w:r>
    </w:p>
    <w:p w14:paraId="44315EF5">
      <w:pPr>
        <w:pStyle w:val="4"/>
        <w:pageBreakBefore w:val="0"/>
        <w:numPr>
          <w:ilvl w:val="0"/>
          <w:numId w:val="0"/>
        </w:numPr>
        <w:kinsoku/>
        <w:wordWrap/>
        <w:overflowPunct/>
        <w:topLinePunct w:val="0"/>
        <w:bidi w:val="0"/>
        <w:spacing w:line="320" w:lineRule="exact"/>
        <w:ind w:right="-239" w:rightChars="-114"/>
        <w:jc w:val="both"/>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（五）多参数水质仪</w:t>
      </w:r>
    </w:p>
    <w:p w14:paraId="47E93399">
      <w:pPr>
        <w:pageBreakBefore w:val="0"/>
        <w:kinsoku/>
        <w:wordWrap/>
        <w:overflowPunct/>
        <w:topLinePunct w:val="0"/>
        <w:autoSpaceDE w:val="0"/>
        <w:autoSpaceDN w:val="0"/>
        <w:bidi w:val="0"/>
        <w:adjustRightInd w:val="0"/>
        <w:spacing w:line="320" w:lineRule="exact"/>
        <w:ind w:firstLine="482"/>
        <w:jc w:val="left"/>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1</w:t>
      </w:r>
      <w:r>
        <w:rPr>
          <w:rFonts w:hint="eastAsia" w:ascii="宋体" w:hAnsi="宋体" w:eastAsia="宋体" w:cs="宋体"/>
          <w:b/>
          <w:bCs/>
          <w:color w:val="auto"/>
          <w:kern w:val="0"/>
          <w:sz w:val="21"/>
          <w:szCs w:val="21"/>
          <w:lang w:eastAsia="zh-CN"/>
        </w:rPr>
        <w:t>.</w:t>
      </w:r>
      <w:r>
        <w:rPr>
          <w:rFonts w:hint="eastAsia" w:ascii="宋体" w:hAnsi="宋体" w:eastAsia="宋体" w:cs="宋体"/>
          <w:b/>
          <w:bCs/>
          <w:color w:val="auto"/>
          <w:kern w:val="0"/>
          <w:sz w:val="21"/>
          <w:szCs w:val="21"/>
        </w:rPr>
        <w:t>主机技术要求：</w:t>
      </w:r>
    </w:p>
    <w:p w14:paraId="13252046">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1.1 设备应能满足现阶段测量水体温度、pH、DO、电导率，并支持扩展ORP、氯化物、硝氮、氨氮和BOD等水质参数，同时拥有显示大气压值和测量读数自稳定功能。</w:t>
      </w:r>
    </w:p>
    <w:p w14:paraId="0A2C1FF8">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1.2 主机、电缆、探头三体分离，单一线缆支持同时连接不少于四支传感器，同时测定并同步出数据，避免多根线缆野外工况下相互缠绕，电缆、探头均可在野外由用户自行更换，无需特殊工具。</w:t>
      </w:r>
    </w:p>
    <w:p w14:paraId="6F908F97">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1.3 设备应采用快速插拔接头，防水，连接可靠稳固，电缆的接头部分可耐受不少于30万次弯折，经久耐用。</w:t>
      </w:r>
    </w:p>
    <w:p w14:paraId="1B02EABC">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1.4 仪器应可通过USB与电脑连接，方便用户将测量数据上传，且配有专业数据分析软件设置主机参数、管理分析数据以及查看图形数据与表格数据。</w:t>
      </w:r>
    </w:p>
    <w:p w14:paraId="0B59C2F5">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1.5 设备可储存最少2000组数据和100个测量站点名称。</w:t>
      </w:r>
    </w:p>
    <w:p w14:paraId="6D12CCD5">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1.6 具备IP67防水，电池仓与主机线路板分开。</w:t>
      </w:r>
    </w:p>
    <w:p w14:paraId="59147FBF">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1.7 显示屏带背景加光功能，在昏暗的环境下仍能清晰读数；且具有夜光键盘。</w:t>
      </w:r>
    </w:p>
    <w:p w14:paraId="24CD984A">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1.8 设备应配有不锈钢探头保护套，坚固耐撞，更易于沉入水中。</w:t>
      </w:r>
    </w:p>
    <w:p w14:paraId="6325091B">
      <w:pPr>
        <w:pageBreakBefore w:val="0"/>
        <w:kinsoku/>
        <w:wordWrap/>
        <w:overflowPunct/>
        <w:topLinePunct w:val="0"/>
        <w:autoSpaceDE w:val="0"/>
        <w:autoSpaceDN w:val="0"/>
        <w:bidi w:val="0"/>
        <w:adjustRightInd w:val="0"/>
        <w:spacing w:line="320" w:lineRule="exact"/>
        <w:ind w:firstLine="482"/>
        <w:jc w:val="left"/>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2</w:t>
      </w:r>
      <w:r>
        <w:rPr>
          <w:rFonts w:hint="eastAsia" w:ascii="宋体" w:hAnsi="宋体" w:eastAsia="宋体" w:cs="宋体"/>
          <w:b/>
          <w:bCs/>
          <w:color w:val="auto"/>
          <w:kern w:val="0"/>
          <w:sz w:val="21"/>
          <w:szCs w:val="21"/>
          <w:lang w:eastAsia="zh-CN"/>
        </w:rPr>
        <w:t>.</w:t>
      </w:r>
      <w:r>
        <w:rPr>
          <w:rFonts w:hint="eastAsia" w:ascii="宋体" w:hAnsi="宋体" w:eastAsia="宋体" w:cs="宋体"/>
          <w:b/>
          <w:bCs/>
          <w:color w:val="auto"/>
          <w:kern w:val="0"/>
          <w:sz w:val="21"/>
          <w:szCs w:val="21"/>
        </w:rPr>
        <w:t>传感器技术参数：</w:t>
      </w:r>
    </w:p>
    <w:p w14:paraId="36DB75C7">
      <w:pPr>
        <w:pageBreakBefore w:val="0"/>
        <w:kinsoku/>
        <w:wordWrap/>
        <w:overflowPunct/>
        <w:topLinePunct w:val="0"/>
        <w:bidi w:val="0"/>
        <w:spacing w:line="320" w:lineRule="exact"/>
        <w:ind w:firstLine="48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2.1 温度： 量程：-5℃～70℃，分辨率0.1℃，准确度：±0.2℃</w:t>
      </w:r>
      <w:r>
        <w:rPr>
          <w:rFonts w:hint="eastAsia" w:ascii="宋体" w:hAnsi="宋体" w:eastAsia="宋体" w:cs="宋体"/>
          <w:color w:val="auto"/>
          <w:sz w:val="21"/>
          <w:szCs w:val="21"/>
          <w:lang w:eastAsia="zh-CN"/>
        </w:rPr>
        <w:t>。</w:t>
      </w:r>
    </w:p>
    <w:p w14:paraId="59C9C8DC">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2.2 溶解氧: 极谱法</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量程0-50mg/L</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分辨率0.1mg/L或0.01mg/L；准确度0-200%：读数</w:t>
      </w:r>
      <w:r>
        <w:rPr>
          <w:rFonts w:hint="eastAsia" w:ascii="宋体" w:hAnsi="宋体" w:eastAsia="宋体" w:cs="宋体"/>
          <w:color w:val="auto"/>
          <w:sz w:val="21"/>
          <w:szCs w:val="21"/>
          <w:lang w:val="en-US" w:eastAsia="zh-CN"/>
        </w:rPr>
        <w:t>的</w:t>
      </w:r>
      <w:r>
        <w:rPr>
          <w:rFonts w:hint="eastAsia" w:ascii="宋体" w:hAnsi="宋体" w:eastAsia="宋体" w:cs="宋体"/>
          <w:color w:val="auto"/>
          <w:sz w:val="21"/>
          <w:szCs w:val="21"/>
        </w:rPr>
        <w:t>±2%或2%空气饱和度，以较大者为准； 200-500%：读数</w:t>
      </w:r>
      <w:r>
        <w:rPr>
          <w:rFonts w:hint="eastAsia" w:ascii="宋体" w:hAnsi="宋体" w:eastAsia="宋体" w:cs="宋体"/>
          <w:color w:val="auto"/>
          <w:sz w:val="21"/>
          <w:szCs w:val="21"/>
          <w:lang w:val="en-US" w:eastAsia="zh-CN"/>
        </w:rPr>
        <w:t>的</w:t>
      </w:r>
      <w:r>
        <w:rPr>
          <w:rFonts w:hint="eastAsia" w:ascii="宋体" w:hAnsi="宋体" w:eastAsia="宋体" w:cs="宋体"/>
          <w:color w:val="auto"/>
          <w:sz w:val="21"/>
          <w:szCs w:val="21"/>
        </w:rPr>
        <w:t>±6%。</w:t>
      </w:r>
    </w:p>
    <w:p w14:paraId="3F677A57">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2.3 电导率，四电极流通式电导测量管法，量程 0-200ms/cm，盐度量程0-70ppt; 分辨率0.001ms/cm 或0.1ms/cm</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0.01ppt，读数</w:t>
      </w:r>
      <w:r>
        <w:rPr>
          <w:rFonts w:hint="eastAsia" w:ascii="宋体" w:hAnsi="宋体" w:eastAsia="宋体" w:cs="宋体"/>
          <w:color w:val="auto"/>
          <w:sz w:val="21"/>
          <w:szCs w:val="21"/>
          <w:lang w:val="en-US" w:eastAsia="zh-CN"/>
        </w:rPr>
        <w:t>的</w:t>
      </w:r>
      <w:r>
        <w:rPr>
          <w:rFonts w:hint="eastAsia" w:ascii="宋体" w:hAnsi="宋体" w:eastAsia="宋体" w:cs="宋体"/>
          <w:color w:val="auto"/>
          <w:sz w:val="21"/>
          <w:szCs w:val="21"/>
        </w:rPr>
        <w:t>±0.5%或0.001ms/cm，以较大者为准。</w:t>
      </w:r>
    </w:p>
    <w:p w14:paraId="384181C4">
      <w:pPr>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2.4 pH：玻璃复合电极法，量程0-14，分辨率0.01pH。</w:t>
      </w:r>
    </w:p>
    <w:p w14:paraId="21382A3D">
      <w:pPr>
        <w:pageBreakBefore w:val="0"/>
        <w:kinsoku/>
        <w:wordWrap/>
        <w:overflowPunct/>
        <w:topLinePunct w:val="0"/>
        <w:bidi w:val="0"/>
        <w:spacing w:line="320" w:lineRule="exact"/>
        <w:ind w:firstLine="482"/>
        <w:rPr>
          <w:rFonts w:hint="eastAsia" w:ascii="宋体" w:hAnsi="宋体" w:eastAsia="宋体" w:cs="宋体"/>
          <w:b/>
          <w:bCs/>
          <w:color w:val="auto"/>
          <w:sz w:val="21"/>
          <w:szCs w:val="21"/>
        </w:rPr>
      </w:pPr>
      <w:r>
        <w:rPr>
          <w:rFonts w:hint="eastAsia" w:ascii="宋体" w:hAnsi="宋体" w:eastAsia="宋体" w:cs="宋体"/>
          <w:b/>
          <w:bCs/>
          <w:color w:val="auto"/>
          <w:sz w:val="21"/>
          <w:szCs w:val="21"/>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详细配置</w:t>
      </w:r>
    </w:p>
    <w:tbl>
      <w:tblPr>
        <w:tblStyle w:val="62"/>
        <w:tblW w:w="7998" w:type="dxa"/>
        <w:tblInd w:w="5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299"/>
        <w:gridCol w:w="989"/>
        <w:gridCol w:w="989"/>
      </w:tblGrid>
      <w:tr w14:paraId="16492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14:paraId="79686576">
            <w:pPr>
              <w:pageBreakBefore w:val="0"/>
              <w:kinsoku/>
              <w:wordWrap/>
              <w:overflowPunct/>
              <w:topLinePunct w:val="0"/>
              <w:bidi w:val="0"/>
              <w:spacing w:line="320" w:lineRule="exact"/>
              <w:ind w:firstLine="0" w:firstLineChars="0"/>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序号</w:t>
            </w:r>
          </w:p>
        </w:tc>
        <w:tc>
          <w:tcPr>
            <w:tcW w:w="5299" w:type="dxa"/>
            <w:vAlign w:val="center"/>
          </w:tcPr>
          <w:p w14:paraId="1B5264B0">
            <w:pPr>
              <w:pageBreakBefore w:val="0"/>
              <w:kinsoku/>
              <w:wordWrap/>
              <w:overflowPunct/>
              <w:topLinePunct w:val="0"/>
              <w:bidi w:val="0"/>
              <w:spacing w:line="320" w:lineRule="exact"/>
              <w:ind w:firstLine="482"/>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名称</w:t>
            </w:r>
          </w:p>
        </w:tc>
        <w:tc>
          <w:tcPr>
            <w:tcW w:w="989" w:type="dxa"/>
            <w:vAlign w:val="center"/>
          </w:tcPr>
          <w:p w14:paraId="51B56666">
            <w:pPr>
              <w:pageBreakBefore w:val="0"/>
              <w:kinsoku/>
              <w:wordWrap/>
              <w:overflowPunct/>
              <w:topLinePunct w:val="0"/>
              <w:bidi w:val="0"/>
              <w:spacing w:line="320" w:lineRule="exact"/>
              <w:ind w:firstLine="0" w:firstLineChars="0"/>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单位</w:t>
            </w:r>
          </w:p>
        </w:tc>
        <w:tc>
          <w:tcPr>
            <w:tcW w:w="989" w:type="dxa"/>
            <w:vAlign w:val="center"/>
          </w:tcPr>
          <w:p w14:paraId="135A5766">
            <w:pPr>
              <w:pageBreakBefore w:val="0"/>
              <w:kinsoku/>
              <w:wordWrap/>
              <w:overflowPunct/>
              <w:topLinePunct w:val="0"/>
              <w:bidi w:val="0"/>
              <w:spacing w:line="320" w:lineRule="exact"/>
              <w:ind w:firstLine="0" w:firstLineChars="0"/>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数量</w:t>
            </w:r>
          </w:p>
        </w:tc>
      </w:tr>
      <w:tr w14:paraId="0BBF8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1" w:type="dxa"/>
            <w:vAlign w:val="center"/>
          </w:tcPr>
          <w:p w14:paraId="1B01CE4B">
            <w:pPr>
              <w:pageBreakBefore w:val="0"/>
              <w:widowControl/>
              <w:kinsoku/>
              <w:wordWrap/>
              <w:overflowPunct/>
              <w:topLinePunct w:val="0"/>
              <w:bidi w:val="0"/>
              <w:spacing w:line="32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5299" w:type="dxa"/>
            <w:vAlign w:val="center"/>
          </w:tcPr>
          <w:p w14:paraId="04EB351B">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主机</w:t>
            </w:r>
          </w:p>
        </w:tc>
        <w:tc>
          <w:tcPr>
            <w:tcW w:w="989" w:type="dxa"/>
            <w:vAlign w:val="center"/>
          </w:tcPr>
          <w:p w14:paraId="6A55B867">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台</w:t>
            </w:r>
          </w:p>
        </w:tc>
        <w:tc>
          <w:tcPr>
            <w:tcW w:w="989" w:type="dxa"/>
            <w:vAlign w:val="center"/>
          </w:tcPr>
          <w:p w14:paraId="660EE9F2">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2</w:t>
            </w:r>
          </w:p>
        </w:tc>
      </w:tr>
      <w:tr w14:paraId="51581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21" w:type="dxa"/>
            <w:vAlign w:val="center"/>
          </w:tcPr>
          <w:p w14:paraId="3913F8AF">
            <w:pPr>
              <w:pageBreakBefore w:val="0"/>
              <w:widowControl/>
              <w:kinsoku/>
              <w:wordWrap/>
              <w:overflowPunct/>
              <w:topLinePunct w:val="0"/>
              <w:bidi w:val="0"/>
              <w:spacing w:line="32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5299" w:type="dxa"/>
            <w:vAlign w:val="center"/>
          </w:tcPr>
          <w:p w14:paraId="2F4BEB9F">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20米测试线缆</w:t>
            </w:r>
          </w:p>
        </w:tc>
        <w:tc>
          <w:tcPr>
            <w:tcW w:w="989" w:type="dxa"/>
            <w:vAlign w:val="center"/>
          </w:tcPr>
          <w:p w14:paraId="74FDA247">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根</w:t>
            </w:r>
          </w:p>
        </w:tc>
        <w:tc>
          <w:tcPr>
            <w:tcW w:w="989" w:type="dxa"/>
            <w:vAlign w:val="center"/>
          </w:tcPr>
          <w:p w14:paraId="11C87B9C">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2</w:t>
            </w:r>
          </w:p>
        </w:tc>
      </w:tr>
      <w:tr w14:paraId="5B86E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721" w:type="dxa"/>
            <w:vAlign w:val="center"/>
          </w:tcPr>
          <w:p w14:paraId="2A34A7C0">
            <w:pPr>
              <w:pageBreakBefore w:val="0"/>
              <w:widowControl/>
              <w:kinsoku/>
              <w:wordWrap/>
              <w:overflowPunct/>
              <w:topLinePunct w:val="0"/>
              <w:bidi w:val="0"/>
              <w:spacing w:line="32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5299" w:type="dxa"/>
            <w:vAlign w:val="center"/>
          </w:tcPr>
          <w:p w14:paraId="45EC3799">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电导率温度传感器</w:t>
            </w:r>
          </w:p>
        </w:tc>
        <w:tc>
          <w:tcPr>
            <w:tcW w:w="989" w:type="dxa"/>
            <w:vAlign w:val="center"/>
          </w:tcPr>
          <w:p w14:paraId="0BB14B70">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支</w:t>
            </w:r>
          </w:p>
        </w:tc>
        <w:tc>
          <w:tcPr>
            <w:tcW w:w="989" w:type="dxa"/>
            <w:vAlign w:val="center"/>
          </w:tcPr>
          <w:p w14:paraId="74BCCF27">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2</w:t>
            </w:r>
          </w:p>
        </w:tc>
      </w:tr>
      <w:tr w14:paraId="19088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721" w:type="dxa"/>
            <w:vAlign w:val="center"/>
          </w:tcPr>
          <w:p w14:paraId="2A49F0D1">
            <w:pPr>
              <w:pageBreakBefore w:val="0"/>
              <w:widowControl/>
              <w:kinsoku/>
              <w:wordWrap/>
              <w:overflowPunct/>
              <w:topLinePunct w:val="0"/>
              <w:bidi w:val="0"/>
              <w:spacing w:line="32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5299" w:type="dxa"/>
            <w:vAlign w:val="center"/>
          </w:tcPr>
          <w:p w14:paraId="7A8D2351">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pH传感器</w:t>
            </w:r>
          </w:p>
        </w:tc>
        <w:tc>
          <w:tcPr>
            <w:tcW w:w="989" w:type="dxa"/>
            <w:vAlign w:val="center"/>
          </w:tcPr>
          <w:p w14:paraId="3109225E">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支</w:t>
            </w:r>
          </w:p>
        </w:tc>
        <w:tc>
          <w:tcPr>
            <w:tcW w:w="989" w:type="dxa"/>
            <w:vAlign w:val="center"/>
          </w:tcPr>
          <w:p w14:paraId="4808BB45">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4</w:t>
            </w:r>
          </w:p>
        </w:tc>
      </w:tr>
      <w:tr w14:paraId="628A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721" w:type="dxa"/>
            <w:vAlign w:val="center"/>
          </w:tcPr>
          <w:p w14:paraId="38431492">
            <w:pPr>
              <w:pageBreakBefore w:val="0"/>
              <w:widowControl/>
              <w:kinsoku/>
              <w:wordWrap/>
              <w:overflowPunct/>
              <w:topLinePunct w:val="0"/>
              <w:bidi w:val="0"/>
              <w:spacing w:line="32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5299" w:type="dxa"/>
            <w:vAlign w:val="center"/>
          </w:tcPr>
          <w:p w14:paraId="0698D32C">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溶解氧传感器</w:t>
            </w:r>
          </w:p>
        </w:tc>
        <w:tc>
          <w:tcPr>
            <w:tcW w:w="989" w:type="dxa"/>
            <w:vAlign w:val="center"/>
          </w:tcPr>
          <w:p w14:paraId="0065D264">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支</w:t>
            </w:r>
          </w:p>
        </w:tc>
        <w:tc>
          <w:tcPr>
            <w:tcW w:w="989" w:type="dxa"/>
            <w:vAlign w:val="center"/>
          </w:tcPr>
          <w:p w14:paraId="5D58B942">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4</w:t>
            </w:r>
          </w:p>
        </w:tc>
      </w:tr>
      <w:tr w14:paraId="50EA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721" w:type="dxa"/>
            <w:vAlign w:val="center"/>
          </w:tcPr>
          <w:p w14:paraId="5CA2E67D">
            <w:pPr>
              <w:pageBreakBefore w:val="0"/>
              <w:widowControl/>
              <w:kinsoku/>
              <w:wordWrap/>
              <w:overflowPunct/>
              <w:topLinePunct w:val="0"/>
              <w:bidi w:val="0"/>
              <w:spacing w:line="32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5299" w:type="dxa"/>
            <w:vAlign w:val="center"/>
          </w:tcPr>
          <w:p w14:paraId="1D2D104B">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野外便携包</w:t>
            </w:r>
          </w:p>
        </w:tc>
        <w:tc>
          <w:tcPr>
            <w:tcW w:w="989" w:type="dxa"/>
            <w:vAlign w:val="center"/>
          </w:tcPr>
          <w:p w14:paraId="520E040B">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个</w:t>
            </w:r>
          </w:p>
        </w:tc>
        <w:tc>
          <w:tcPr>
            <w:tcW w:w="989" w:type="dxa"/>
            <w:vAlign w:val="center"/>
          </w:tcPr>
          <w:p w14:paraId="5B28D725">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2</w:t>
            </w:r>
          </w:p>
        </w:tc>
      </w:tr>
      <w:tr w14:paraId="4ECDF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21" w:type="dxa"/>
            <w:vAlign w:val="center"/>
          </w:tcPr>
          <w:p w14:paraId="6481DB7B">
            <w:pPr>
              <w:pageBreakBefore w:val="0"/>
              <w:widowControl/>
              <w:kinsoku/>
              <w:wordWrap/>
              <w:overflowPunct/>
              <w:topLinePunct w:val="0"/>
              <w:bidi w:val="0"/>
              <w:spacing w:line="32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5299" w:type="dxa"/>
            <w:vAlign w:val="center"/>
          </w:tcPr>
          <w:p w14:paraId="342CBC13">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校准标液</w:t>
            </w:r>
          </w:p>
        </w:tc>
        <w:tc>
          <w:tcPr>
            <w:tcW w:w="989" w:type="dxa"/>
            <w:vAlign w:val="center"/>
          </w:tcPr>
          <w:p w14:paraId="3ECAEB43">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套</w:t>
            </w:r>
          </w:p>
        </w:tc>
        <w:tc>
          <w:tcPr>
            <w:tcW w:w="989" w:type="dxa"/>
            <w:vAlign w:val="center"/>
          </w:tcPr>
          <w:p w14:paraId="11A7314F">
            <w:pPr>
              <w:ind w:left="-19"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rPr>
              <w:t>2</w:t>
            </w:r>
          </w:p>
        </w:tc>
      </w:tr>
    </w:tbl>
    <w:p w14:paraId="2F66BC96">
      <w:pPr>
        <w:pageBreakBefore w:val="0"/>
        <w:kinsoku/>
        <w:wordWrap/>
        <w:overflowPunct/>
        <w:topLinePunct w:val="0"/>
        <w:autoSpaceDE w:val="0"/>
        <w:autoSpaceDN w:val="0"/>
        <w:bidi w:val="0"/>
        <w:adjustRightInd w:val="0"/>
        <w:spacing w:line="320" w:lineRule="exact"/>
        <w:ind w:firstLine="422" w:firstLineChars="200"/>
        <w:jc w:val="left"/>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val="en-US" w:eastAsia="zh-CN"/>
        </w:rPr>
        <w:t>4</w:t>
      </w:r>
      <w:r>
        <w:rPr>
          <w:rFonts w:hint="eastAsia" w:ascii="宋体" w:hAnsi="宋体" w:eastAsia="宋体" w:cs="宋体"/>
          <w:b/>
          <w:bCs/>
          <w:color w:val="auto"/>
          <w:kern w:val="0"/>
          <w:sz w:val="21"/>
          <w:szCs w:val="21"/>
          <w:lang w:eastAsia="zh-CN"/>
        </w:rPr>
        <w:t>.售后服务</w:t>
      </w:r>
    </w:p>
    <w:p w14:paraId="740BC00B">
      <w:pPr>
        <w:pageBreakBefore w:val="0"/>
        <w:kinsoku/>
        <w:wordWrap/>
        <w:overflowPunct/>
        <w:topLinePunct w:val="0"/>
        <w:bidi w:val="0"/>
        <w:spacing w:line="320" w:lineRule="exact"/>
        <w:ind w:firstLine="48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1</w:t>
      </w:r>
      <w:r>
        <w:rPr>
          <w:rFonts w:hint="eastAsia" w:ascii="宋体" w:hAnsi="宋体" w:eastAsia="宋体" w:cs="宋体"/>
          <w:color w:val="auto"/>
          <w:kern w:val="2"/>
          <w:sz w:val="21"/>
          <w:szCs w:val="21"/>
          <w:lang w:eastAsia="zh-CN"/>
        </w:rPr>
        <w:t>）技术人员到现场免费进行安装调试整个系统，确保仪器技术指标验收合格，并现场培训基本操作技术。</w:t>
      </w:r>
    </w:p>
    <w:p w14:paraId="76082C6C">
      <w:pPr>
        <w:pageBreakBefore w:val="0"/>
        <w:kinsoku/>
        <w:wordWrap/>
        <w:overflowPunct/>
        <w:topLinePunct w:val="0"/>
        <w:bidi w:val="0"/>
        <w:spacing w:line="320" w:lineRule="exact"/>
        <w:ind w:firstLine="48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lang w:eastAsia="zh-CN"/>
        </w:rPr>
        <w:t>）仪器安装调试合格后提供保修期2年，仪器保修期应从填写验收合格书后第二天算起，制造厂方终生提供维修服务、技术支持和零配件供应。</w:t>
      </w:r>
    </w:p>
    <w:p w14:paraId="08CF5128">
      <w:pPr>
        <w:pageBreakBefore w:val="0"/>
        <w:kinsoku/>
        <w:wordWrap/>
        <w:overflowPunct/>
        <w:topLinePunct w:val="0"/>
        <w:bidi w:val="0"/>
        <w:spacing w:line="320" w:lineRule="exact"/>
        <w:ind w:firstLine="48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3</w:t>
      </w:r>
      <w:r>
        <w:rPr>
          <w:rFonts w:hint="eastAsia" w:ascii="宋体" w:hAnsi="宋体" w:eastAsia="宋体" w:cs="宋体"/>
          <w:color w:val="auto"/>
          <w:kern w:val="2"/>
          <w:sz w:val="21"/>
          <w:szCs w:val="21"/>
          <w:lang w:eastAsia="zh-CN"/>
        </w:rPr>
        <w:t>）公司为用户提供至少2人次免费操作技术培训。</w:t>
      </w:r>
    </w:p>
    <w:p w14:paraId="30FB15DF">
      <w:pPr>
        <w:pageBreakBefore w:val="0"/>
        <w:kinsoku/>
        <w:wordWrap/>
        <w:overflowPunct/>
        <w:topLinePunct w:val="0"/>
        <w:bidi w:val="0"/>
        <w:spacing w:line="320" w:lineRule="exact"/>
        <w:ind w:firstLine="480"/>
        <w:rPr>
          <w:rFonts w:ascii="Times New Roman" w:hAnsi="Calibri" w:eastAsia="宋体" w:cs="Times New Roman"/>
          <w:b/>
          <w:bCs/>
          <w:color w:val="auto"/>
          <w:kern w:val="0"/>
        </w:rPr>
      </w:pPr>
      <w:r>
        <w:rPr>
          <w:rFonts w:hint="eastAsia" w:ascii="宋体" w:hAnsi="宋体" w:eastAsia="宋体" w:cs="宋体"/>
          <w:color w:val="auto"/>
          <w:kern w:val="2"/>
          <w:sz w:val="21"/>
          <w:szCs w:val="21"/>
          <w:lang w:eastAsia="zh-CN"/>
        </w:rPr>
        <w:t>（</w:t>
      </w:r>
      <w:r>
        <w:rPr>
          <w:rFonts w:hint="eastAsia" w:ascii="宋体" w:hAnsi="宋体" w:eastAsia="宋体" w:cs="宋体"/>
          <w:color w:val="auto"/>
          <w:kern w:val="2"/>
          <w:sz w:val="21"/>
          <w:szCs w:val="21"/>
          <w:lang w:val="en-US" w:eastAsia="zh-CN"/>
        </w:rPr>
        <w:t>4</w:t>
      </w:r>
      <w:r>
        <w:rPr>
          <w:rFonts w:hint="eastAsia" w:ascii="宋体" w:hAnsi="宋体" w:eastAsia="宋体" w:cs="宋体"/>
          <w:color w:val="auto"/>
          <w:kern w:val="2"/>
          <w:sz w:val="21"/>
          <w:szCs w:val="21"/>
          <w:lang w:eastAsia="zh-CN"/>
        </w:rPr>
        <w:t>）在接到用户维修请求后，应能在4小时内做出快速响应，并在24小时内解决问题</w:t>
      </w:r>
      <w:r>
        <w:rPr>
          <w:rFonts w:hint="eastAsia" w:ascii="宋体" w:hAnsi="宋体" w:eastAsia="宋体" w:cs="宋体"/>
          <w:color w:val="auto"/>
          <w:kern w:val="2"/>
          <w:sz w:val="21"/>
          <w:szCs w:val="21"/>
        </w:rPr>
        <w:t>。</w:t>
      </w:r>
      <w:bookmarkEnd w:id="3"/>
    </w:p>
    <w:p w14:paraId="236544FB">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02649E7F">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（六）气象参数测定仪</w:t>
      </w:r>
    </w:p>
    <w:p w14:paraId="09303A89">
      <w:pPr>
        <w:pageBreakBefore w:val="0"/>
        <w:kinsoku/>
        <w:wordWrap/>
        <w:overflowPunct/>
        <w:topLinePunct w:val="0"/>
        <w:bidi w:val="0"/>
        <w:spacing w:line="320" w:lineRule="exact"/>
        <w:ind w:firstLine="422" w:firstLineChars="200"/>
        <w:jc w:val="left"/>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1.</w:t>
      </w:r>
      <w:r>
        <w:rPr>
          <w:rFonts w:hint="eastAsia" w:ascii="宋体" w:hAnsi="宋体" w:eastAsia="宋体" w:cs="宋体"/>
          <w:b/>
          <w:bCs/>
          <w:color w:val="auto"/>
          <w:sz w:val="21"/>
          <w:szCs w:val="21"/>
        </w:rPr>
        <w:t>设备用途</w:t>
      </w:r>
      <w:r>
        <w:rPr>
          <w:rFonts w:hint="eastAsia" w:ascii="宋体" w:hAnsi="宋体" w:eastAsia="宋体" w:cs="宋体"/>
          <w:b/>
          <w:bCs/>
          <w:color w:val="auto"/>
          <w:sz w:val="21"/>
          <w:szCs w:val="21"/>
          <w:lang w:eastAsia="zh-CN"/>
        </w:rPr>
        <w:t>：</w:t>
      </w:r>
    </w:p>
    <w:p w14:paraId="1BA7B46E">
      <w:pPr>
        <w:pageBreakBefore w:val="0"/>
        <w:kinsoku/>
        <w:wordWrap/>
        <w:overflowPunct/>
        <w:topLinePunct w:val="0"/>
        <w:bidi w:val="0"/>
        <w:spacing w:line="320" w:lineRule="exact"/>
        <w:ind w:firstLine="420" w:firstLineChars="200"/>
        <w:jc w:val="left"/>
        <w:rPr>
          <w:rFonts w:hint="eastAsia" w:ascii="宋体" w:hAnsi="宋体" w:eastAsia="宋体" w:cs="宋体"/>
          <w:b/>
          <w:bCs/>
          <w:color w:val="auto"/>
          <w:sz w:val="21"/>
          <w:szCs w:val="21"/>
        </w:rPr>
      </w:pPr>
      <w:r>
        <w:rPr>
          <w:rFonts w:hint="eastAsia" w:ascii="宋体" w:hAnsi="宋体" w:eastAsia="宋体" w:cs="宋体"/>
          <w:b w:val="0"/>
          <w:bCs w:val="0"/>
          <w:color w:val="auto"/>
          <w:sz w:val="21"/>
          <w:szCs w:val="21"/>
        </w:rPr>
        <w:t>用于</w:t>
      </w:r>
      <w:r>
        <w:rPr>
          <w:rFonts w:hint="eastAsia" w:ascii="宋体" w:hAnsi="宋体" w:eastAsia="宋体" w:cs="宋体"/>
          <w:b w:val="0"/>
          <w:bCs w:val="0"/>
          <w:color w:val="auto"/>
          <w:sz w:val="21"/>
          <w:szCs w:val="21"/>
          <w:lang w:val="en-US" w:eastAsia="zh-CN"/>
        </w:rPr>
        <w:t>监测期间气象参数</w:t>
      </w:r>
      <w:r>
        <w:rPr>
          <w:rFonts w:hint="eastAsia" w:ascii="宋体" w:hAnsi="宋体" w:eastAsia="宋体" w:cs="宋体"/>
          <w:b w:val="0"/>
          <w:bCs w:val="0"/>
          <w:color w:val="auto"/>
          <w:sz w:val="21"/>
          <w:szCs w:val="21"/>
        </w:rPr>
        <w:t>的</w:t>
      </w:r>
      <w:r>
        <w:rPr>
          <w:rFonts w:hint="eastAsia" w:ascii="宋体" w:hAnsi="宋体" w:eastAsia="宋体" w:cs="宋体"/>
          <w:b w:val="0"/>
          <w:bCs w:val="0"/>
          <w:color w:val="auto"/>
          <w:sz w:val="21"/>
          <w:szCs w:val="21"/>
          <w:lang w:val="en-US" w:eastAsia="zh-CN"/>
        </w:rPr>
        <w:t>测定</w:t>
      </w:r>
    </w:p>
    <w:p w14:paraId="56B58BA0">
      <w:pPr>
        <w:pageBreakBefore w:val="0"/>
        <w:kinsoku/>
        <w:wordWrap/>
        <w:overflowPunct/>
        <w:topLinePunct w:val="0"/>
        <w:bidi w:val="0"/>
        <w:spacing w:line="320" w:lineRule="exact"/>
        <w:ind w:firstLine="422" w:firstLineChars="200"/>
        <w:jc w:val="lef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5E7CBAE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支持数据存储、</w:t>
      </w:r>
      <w:r>
        <w:rPr>
          <w:rFonts w:hint="eastAsia" w:ascii="宋体" w:hAnsi="宋体" w:eastAsia="宋体" w:cs="宋体"/>
          <w:color w:val="auto"/>
          <w:sz w:val="21"/>
          <w:szCs w:val="21"/>
          <w:lang w:val="en-US" w:eastAsia="zh-CN"/>
        </w:rPr>
        <w:t>查询、打印</w:t>
      </w:r>
      <w:r>
        <w:rPr>
          <w:rFonts w:hint="eastAsia" w:ascii="宋体" w:hAnsi="宋体" w:eastAsia="宋体" w:cs="宋体"/>
          <w:color w:val="auto"/>
          <w:sz w:val="21"/>
          <w:szCs w:val="21"/>
          <w:lang w:eastAsia="zh-CN"/>
        </w:rPr>
        <w:t>、导出</w:t>
      </w:r>
    </w:p>
    <w:p w14:paraId="498694D0">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界面显示实时测量数据，并能</w:t>
      </w:r>
      <w:r>
        <w:rPr>
          <w:rFonts w:hint="eastAsia" w:ascii="宋体" w:hAnsi="宋体" w:eastAsia="宋体" w:cs="宋体"/>
          <w:color w:val="auto"/>
          <w:sz w:val="21"/>
          <w:szCs w:val="21"/>
          <w:lang w:val="en-US" w:eastAsia="zh-CN"/>
        </w:rPr>
        <w:t>显示</w:t>
      </w:r>
      <w:r>
        <w:rPr>
          <w:rFonts w:hint="eastAsia" w:ascii="宋体" w:hAnsi="宋体" w:eastAsia="宋体" w:cs="宋体"/>
          <w:color w:val="auto"/>
          <w:sz w:val="21"/>
          <w:szCs w:val="21"/>
          <w:lang w:eastAsia="zh-CN"/>
        </w:rPr>
        <w:t>平均值及评估总适宜度</w:t>
      </w:r>
    </w:p>
    <w:p w14:paraId="4C2A6C51">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重量：主机不超过1kg，小巧便携</w:t>
      </w:r>
    </w:p>
    <w:p w14:paraId="45076050">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数据存储：存储不低于</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000条数据</w:t>
      </w:r>
    </w:p>
    <w:p w14:paraId="01C751E5">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电池电量：机身内集成锂电池，充满电使用不少于10小时</w:t>
      </w:r>
    </w:p>
    <w:p w14:paraId="31D735E8">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总适宜度：能判定现场各类气象条件（适宜程度）是否满足监测要求</w:t>
      </w:r>
    </w:p>
    <w:p w14:paraId="611C6FDF">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通讯模式：支持蓝牙</w:t>
      </w:r>
      <w:r>
        <w:rPr>
          <w:rFonts w:hint="eastAsia" w:ascii="宋体" w:hAnsi="宋体" w:eastAsia="宋体" w:cs="宋体"/>
          <w:color w:val="auto"/>
          <w:sz w:val="21"/>
          <w:szCs w:val="21"/>
          <w:lang w:val="en-US" w:eastAsia="zh-CN"/>
        </w:rPr>
        <w:t>通讯或</w:t>
      </w:r>
      <w:r>
        <w:rPr>
          <w:rFonts w:hint="eastAsia" w:ascii="宋体" w:hAnsi="宋体" w:eastAsia="宋体" w:cs="宋体"/>
          <w:color w:val="auto"/>
          <w:sz w:val="21"/>
          <w:szCs w:val="21"/>
          <w:lang w:eastAsia="zh-CN"/>
        </w:rPr>
        <w:t>USB</w:t>
      </w:r>
      <w:r>
        <w:rPr>
          <w:rFonts w:hint="eastAsia" w:ascii="宋体" w:hAnsi="宋体" w:eastAsia="宋体" w:cs="宋体"/>
          <w:color w:val="auto"/>
          <w:sz w:val="21"/>
          <w:szCs w:val="21"/>
          <w:lang w:val="en-US" w:eastAsia="zh-CN"/>
        </w:rPr>
        <w:t>连接导出</w:t>
      </w:r>
      <w:r>
        <w:rPr>
          <w:rFonts w:hint="eastAsia" w:ascii="宋体" w:hAnsi="宋体" w:eastAsia="宋体" w:cs="宋体"/>
          <w:color w:val="auto"/>
          <w:sz w:val="21"/>
          <w:szCs w:val="21"/>
          <w:lang w:eastAsia="zh-CN"/>
        </w:rPr>
        <w:t>数据</w:t>
      </w:r>
    </w:p>
    <w:p w14:paraId="71D41D2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2.8</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大气温度：（-10～+45）℃，分辨率≤0.1℃，准确度≤±0.5℃</w:t>
      </w:r>
    </w:p>
    <w:p w14:paraId="7E0502DB">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相对湿度：</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0～100</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%RH</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不凝结</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，分辨率≤0.1%RH，准确度≤±5%RH</w:t>
      </w:r>
    </w:p>
    <w:p w14:paraId="080F72B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2.10</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大气压：（30～110）kPa，分辨率≤0.01kPa，准确度≤±0.1kPa</w:t>
      </w:r>
    </w:p>
    <w:p w14:paraId="3C9EF542">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风向：</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0～360</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°，分辨率≤0.1°，准确度≤±5°</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风向标准差：≤5°</w:t>
      </w:r>
      <w:r>
        <w:rPr>
          <w:rFonts w:hint="eastAsia" w:ascii="宋体" w:hAnsi="宋体" w:eastAsia="宋体" w:cs="宋体"/>
          <w:color w:val="auto"/>
          <w:sz w:val="21"/>
          <w:szCs w:val="21"/>
          <w:lang w:val="en-US" w:eastAsia="zh-CN"/>
        </w:rPr>
        <w:t>）</w:t>
      </w:r>
    </w:p>
    <w:p w14:paraId="746DC021">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风速：（0～10）m/s，分辨率≤0.1m/s，准确度≤±0.5m/s</w:t>
      </w:r>
    </w:p>
    <w:p w14:paraId="6C90EAA4">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启动风速：≤0.3m/s</w:t>
      </w:r>
    </w:p>
    <w:p w14:paraId="5930B6D7">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2.14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蓝牙打印机：热敏式，USB供电。</w:t>
      </w:r>
    </w:p>
    <w:p w14:paraId="21C0FE99">
      <w:pPr>
        <w:pageBreakBefore w:val="0"/>
        <w:kinsoku/>
        <w:wordWrap/>
        <w:overflowPunct/>
        <w:topLinePunct w:val="0"/>
        <w:bidi w:val="0"/>
        <w:spacing w:line="320" w:lineRule="exact"/>
        <w:ind w:firstLine="422" w:firstLineChars="200"/>
        <w:jc w:val="left"/>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配置清单</w:t>
      </w:r>
      <w:r>
        <w:rPr>
          <w:rFonts w:hint="eastAsia" w:ascii="宋体" w:hAnsi="宋体" w:eastAsia="宋体" w:cs="宋体"/>
          <w:b/>
          <w:bCs/>
          <w:color w:val="auto"/>
          <w:sz w:val="21"/>
          <w:szCs w:val="21"/>
        </w:rPr>
        <w:t>：</w:t>
      </w:r>
    </w:p>
    <w:p w14:paraId="1F03223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3.1主机1套</w:t>
      </w:r>
    </w:p>
    <w:p w14:paraId="5A829C0E">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3.2蓝牙打印机1套</w:t>
      </w:r>
    </w:p>
    <w:p w14:paraId="5A89A55A">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3.3三脚架1套</w:t>
      </w:r>
    </w:p>
    <w:p w14:paraId="377924B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3.4电源适配器1套</w:t>
      </w:r>
    </w:p>
    <w:p w14:paraId="661389BD">
      <w:pPr>
        <w:pageBreakBefore w:val="0"/>
        <w:kinsoku/>
        <w:wordWrap/>
        <w:overflowPunct/>
        <w:topLinePunct w:val="0"/>
        <w:bidi w:val="0"/>
        <w:spacing w:line="320" w:lineRule="exact"/>
        <w:ind w:firstLine="422" w:firstLineChars="20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4.售后服务：</w:t>
      </w:r>
    </w:p>
    <w:p w14:paraId="292A3F80">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（1）质保期为1年。保修期间，提供免费上门维修、更换非人为原因损坏零部件及技术咨询服务。</w:t>
      </w:r>
    </w:p>
    <w:p w14:paraId="27BC5D38">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（2）在保修期结束后，保证10年内提供备件、配件供应。</w:t>
      </w:r>
    </w:p>
    <w:p w14:paraId="7AE607C2">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（3）保证产品为最新原厂设备。</w:t>
      </w:r>
    </w:p>
    <w:p w14:paraId="375FD0D4">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（4）仪器一旦出现问题4小时内做出响应，24小时到现场服务。</w:t>
      </w:r>
    </w:p>
    <w:p w14:paraId="4B8EA1B5">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（5）为用户提供仪器的基本原理、操作、日常维护及基础分析仪器理论课程，并为用户提供至少2人次免费操作技术培训。</w:t>
      </w:r>
    </w:p>
    <w:p w14:paraId="7B206D7F">
      <w:pPr>
        <w:pageBreakBefore w:val="0"/>
        <w:kinsoku/>
        <w:wordWrap/>
        <w:overflowPunct/>
        <w:topLinePunct w:val="0"/>
        <w:bidi w:val="0"/>
        <w:spacing w:line="320" w:lineRule="exact"/>
        <w:rPr>
          <w:rFonts w:hint="eastAsia" w:ascii="宋体" w:hAnsi="宋体" w:eastAsia="宋体" w:cs="宋体"/>
          <w:b/>
          <w:bCs/>
          <w:color w:val="auto"/>
          <w:sz w:val="21"/>
          <w:szCs w:val="21"/>
        </w:rPr>
      </w:pPr>
    </w:p>
    <w:p w14:paraId="3A2D0CC8">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53C903D9">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（七）智能多通道颗粒物采样器</w:t>
      </w:r>
    </w:p>
    <w:p w14:paraId="2D51E7BF">
      <w:pPr>
        <w:pageBreakBefore w:val="0"/>
        <w:kinsoku/>
        <w:wordWrap/>
        <w:overflowPunct/>
        <w:topLinePunct w:val="0"/>
        <w:bidi w:val="0"/>
        <w:spacing w:line="320" w:lineRule="exact"/>
        <w:ind w:firstLine="422" w:firstLineChars="200"/>
        <w:jc w:val="left"/>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设备用途：</w:t>
      </w:r>
    </w:p>
    <w:p w14:paraId="4E85EC1C">
      <w:pPr>
        <w:pageBreakBefore w:val="0"/>
        <w:kinsoku/>
        <w:wordWrap/>
        <w:overflowPunct/>
        <w:topLinePunct w:val="0"/>
        <w:bidi w:val="0"/>
        <w:spacing w:line="320" w:lineRule="exact"/>
        <w:ind w:firstLine="420" w:firstLineChars="200"/>
        <w:jc w:val="left"/>
        <w:rPr>
          <w:rFonts w:hint="eastAsia" w:ascii="宋体" w:hAnsi="宋体" w:eastAsia="宋体" w:cs="宋体"/>
          <w:b/>
          <w:bCs/>
          <w:color w:val="auto"/>
          <w:sz w:val="21"/>
          <w:szCs w:val="21"/>
          <w:lang w:val="en-US" w:eastAsia="zh-CN"/>
        </w:rPr>
      </w:pPr>
      <w:r>
        <w:rPr>
          <w:rFonts w:hint="eastAsia" w:ascii="宋体" w:hAnsi="宋体" w:eastAsia="宋体" w:cs="宋体"/>
          <w:b w:val="0"/>
          <w:bCs w:val="0"/>
          <w:color w:val="auto"/>
          <w:sz w:val="21"/>
          <w:szCs w:val="21"/>
        </w:rPr>
        <w:t>用于</w:t>
      </w:r>
      <w:r>
        <w:rPr>
          <w:rFonts w:hint="eastAsia" w:ascii="宋体" w:hAnsi="宋体" w:eastAsia="宋体" w:cs="宋体"/>
          <w:b w:val="0"/>
          <w:bCs w:val="0"/>
          <w:color w:val="auto"/>
          <w:sz w:val="21"/>
          <w:szCs w:val="21"/>
          <w:lang w:val="en-US" w:eastAsia="zh-CN"/>
        </w:rPr>
        <w:t>环境空气质量颗粒物组分手工监测。</w:t>
      </w:r>
    </w:p>
    <w:p w14:paraId="6B1B290A">
      <w:pPr>
        <w:pageBreakBefore w:val="0"/>
        <w:kinsoku/>
        <w:wordWrap/>
        <w:overflowPunct/>
        <w:topLinePunct w:val="0"/>
        <w:bidi w:val="0"/>
        <w:spacing w:line="320" w:lineRule="exact"/>
        <w:ind w:firstLine="422" w:firstLineChars="200"/>
        <w:jc w:val="lef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2.技术</w:t>
      </w:r>
      <w:r>
        <w:rPr>
          <w:rFonts w:hint="eastAsia" w:ascii="宋体" w:hAnsi="宋体" w:eastAsia="宋体" w:cs="宋体"/>
          <w:b/>
          <w:bCs/>
          <w:color w:val="auto"/>
          <w:sz w:val="21"/>
          <w:szCs w:val="21"/>
        </w:rPr>
        <w:t>参数：</w:t>
      </w:r>
    </w:p>
    <w:p w14:paraId="4D77E881">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采用四通道及以上分流设计，内置独立采样控制系统，各通道互不影响</w:t>
      </w:r>
    </w:p>
    <w:p w14:paraId="33949370">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整机防水，开门设计需便于样品更换、采样头拆洗及流量标定</w:t>
      </w:r>
    </w:p>
    <w:p w14:paraId="07F95ECE">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采样过程，能保证机体内外温差小于5℃</w:t>
      </w:r>
    </w:p>
    <w:p w14:paraId="2F2FECD0">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具有气路阻塞、低流量保护功能</w:t>
      </w:r>
    </w:p>
    <w:p w14:paraId="2646B902">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数据存储容量不低于2000组，具备瞬时数据存储功能，支持USB数据导出</w:t>
      </w:r>
    </w:p>
    <w:p w14:paraId="248D2F2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实时测量环境大气压力、温度、湿度</w:t>
      </w:r>
    </w:p>
    <w:p w14:paraId="30BC1152">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机身具备打印功能</w:t>
      </w:r>
    </w:p>
    <w:p w14:paraId="4E39342D">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2.8</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各通道采样平行性误差≤10%</w:t>
      </w:r>
    </w:p>
    <w:p w14:paraId="2D0E00FE">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滤膜规格：Φ47mm适配</w:t>
      </w:r>
    </w:p>
    <w:p w14:paraId="699BDDBC">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2.10</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带载能力：各路克服滤膜阻力＞35kPa</w:t>
      </w:r>
    </w:p>
    <w:p w14:paraId="4184B72C">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工作环境：（-10～50）℃，（0～95）%RH</w:t>
      </w:r>
    </w:p>
    <w:p w14:paraId="43141AC6">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工作电源：AC（220±22）V，（50±1）Hz</w:t>
      </w:r>
    </w:p>
    <w:p w14:paraId="52B93D35">
      <w:pPr>
        <w:pageBreakBefore w:val="0"/>
        <w:kinsoku/>
        <w:wordWrap/>
        <w:overflowPunct/>
        <w:topLinePunct w:val="0"/>
        <w:bidi w:val="0"/>
        <w:spacing w:line="320" w:lineRule="exact"/>
        <w:ind w:firstLine="422" w:firstLineChars="200"/>
        <w:jc w:val="lef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.配置清单</w:t>
      </w:r>
      <w:r>
        <w:rPr>
          <w:rFonts w:hint="eastAsia" w:ascii="宋体" w:hAnsi="宋体" w:eastAsia="宋体" w:cs="宋体"/>
          <w:b/>
          <w:bCs/>
          <w:color w:val="auto"/>
          <w:sz w:val="21"/>
          <w:szCs w:val="21"/>
        </w:rPr>
        <w:t>：</w:t>
      </w:r>
    </w:p>
    <w:p w14:paraId="2C20B74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主机1台</w:t>
      </w:r>
      <w:r>
        <w:rPr>
          <w:rFonts w:hint="eastAsia" w:ascii="宋体" w:hAnsi="宋体" w:eastAsia="宋体" w:cs="宋体"/>
          <w:color w:val="auto"/>
          <w:sz w:val="21"/>
          <w:szCs w:val="21"/>
        </w:rPr>
        <w:tab/>
      </w:r>
      <w:r>
        <w:rPr>
          <w:rFonts w:hint="eastAsia" w:ascii="宋体" w:hAnsi="宋体" w:eastAsia="宋体" w:cs="宋体"/>
          <w:color w:val="auto"/>
          <w:sz w:val="21"/>
          <w:szCs w:val="21"/>
        </w:rPr>
        <w:tab/>
      </w:r>
    </w:p>
    <w:p w14:paraId="762CE7F5">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滤膜夹开启器1个</w:t>
      </w:r>
      <w:r>
        <w:rPr>
          <w:rFonts w:hint="eastAsia" w:ascii="宋体" w:hAnsi="宋体" w:eastAsia="宋体" w:cs="宋体"/>
          <w:color w:val="auto"/>
          <w:sz w:val="21"/>
          <w:szCs w:val="21"/>
        </w:rPr>
        <w:tab/>
      </w:r>
      <w:r>
        <w:rPr>
          <w:rFonts w:hint="eastAsia" w:ascii="宋体" w:hAnsi="宋体" w:eastAsia="宋体" w:cs="宋体"/>
          <w:color w:val="auto"/>
          <w:sz w:val="21"/>
          <w:szCs w:val="21"/>
        </w:rPr>
        <w:tab/>
      </w:r>
    </w:p>
    <w:p w14:paraId="5B958D44">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滤膜夹18个</w:t>
      </w:r>
    </w:p>
    <w:p w14:paraId="41452907">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滤膜夹盒18个</w:t>
      </w:r>
      <w:r>
        <w:rPr>
          <w:rFonts w:hint="eastAsia" w:ascii="宋体" w:hAnsi="宋体" w:eastAsia="宋体" w:cs="宋体"/>
          <w:color w:val="auto"/>
          <w:sz w:val="21"/>
          <w:szCs w:val="21"/>
        </w:rPr>
        <w:tab/>
      </w:r>
      <w:r>
        <w:rPr>
          <w:rFonts w:hint="eastAsia" w:ascii="宋体" w:hAnsi="宋体" w:eastAsia="宋体" w:cs="宋体"/>
          <w:color w:val="auto"/>
          <w:sz w:val="21"/>
          <w:szCs w:val="21"/>
        </w:rPr>
        <w:tab/>
      </w:r>
    </w:p>
    <w:p w14:paraId="45152C26">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PM10连接杆6个</w:t>
      </w:r>
    </w:p>
    <w:p w14:paraId="109CD9F7">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PM2.5切割器6个</w:t>
      </w:r>
      <w:r>
        <w:rPr>
          <w:rFonts w:hint="eastAsia" w:ascii="宋体" w:hAnsi="宋体" w:eastAsia="宋体" w:cs="宋体"/>
          <w:color w:val="auto"/>
          <w:sz w:val="21"/>
          <w:szCs w:val="21"/>
        </w:rPr>
        <w:tab/>
      </w:r>
    </w:p>
    <w:p w14:paraId="0C24FB93">
      <w:pPr>
        <w:pageBreakBefore w:val="0"/>
        <w:kinsoku/>
        <w:wordWrap/>
        <w:overflowPunct/>
        <w:topLinePunct w:val="0"/>
        <w:bidi w:val="0"/>
        <w:spacing w:line="32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标定接嘴1套</w:t>
      </w:r>
      <w:r>
        <w:rPr>
          <w:rFonts w:hint="eastAsia" w:ascii="宋体" w:hAnsi="宋体" w:eastAsia="宋体" w:cs="宋体"/>
          <w:color w:val="auto"/>
          <w:sz w:val="21"/>
          <w:szCs w:val="21"/>
        </w:rPr>
        <w:tab/>
      </w:r>
      <w:r>
        <w:rPr>
          <w:rFonts w:hint="eastAsia" w:ascii="宋体" w:hAnsi="宋体" w:eastAsia="宋体" w:cs="宋体"/>
          <w:color w:val="auto"/>
          <w:sz w:val="21"/>
          <w:szCs w:val="21"/>
        </w:rPr>
        <w:tab/>
      </w:r>
      <w:r>
        <w:rPr>
          <w:rFonts w:hint="eastAsia" w:ascii="宋体" w:hAnsi="宋体" w:eastAsia="宋体" w:cs="宋体"/>
          <w:color w:val="auto"/>
          <w:sz w:val="21"/>
          <w:szCs w:val="21"/>
        </w:rPr>
        <w:tab/>
      </w:r>
    </w:p>
    <w:p w14:paraId="7A054F1E">
      <w:pPr>
        <w:pageBreakBefore w:val="0"/>
        <w:kinsoku/>
        <w:wordWrap/>
        <w:overflowPunct/>
        <w:topLinePunct w:val="0"/>
        <w:bidi w:val="0"/>
        <w:spacing w:line="320" w:lineRule="exact"/>
        <w:ind w:firstLine="422" w:firstLineChars="200"/>
        <w:jc w:val="left"/>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4.售后服务：</w:t>
      </w:r>
    </w:p>
    <w:p w14:paraId="2FBDEAAB">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（1）质保期为1年。保修期间，提供免费上门维修、更换非人为原因损坏零部件及技术咨询服务。</w:t>
      </w:r>
    </w:p>
    <w:p w14:paraId="3366E02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（2）在保修期结束后，保证10年内提供备件、配件供应。</w:t>
      </w:r>
    </w:p>
    <w:p w14:paraId="1CF4F80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（3）保证产品为最新原厂设备。</w:t>
      </w:r>
    </w:p>
    <w:p w14:paraId="35DC84C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（4）仪器一旦出现问题4小时内做出响应，24小时到现场服务。</w:t>
      </w:r>
    </w:p>
    <w:p w14:paraId="0D8F57A4">
      <w:pPr>
        <w:pageBreakBefore w:val="0"/>
        <w:kinsoku/>
        <w:wordWrap/>
        <w:overflowPunct/>
        <w:topLinePunct w:val="0"/>
        <w:bidi w:val="0"/>
        <w:spacing w:line="320" w:lineRule="exact"/>
        <w:ind w:firstLine="420" w:firstLineChars="200"/>
        <w:rPr>
          <w:rFonts w:ascii="宋体" w:hAnsi="宋体" w:eastAsia="宋体" w:cs="宋体"/>
          <w:b/>
          <w:bCs/>
          <w:color w:val="auto"/>
          <w:sz w:val="24"/>
        </w:rPr>
      </w:pPr>
      <w:r>
        <w:rPr>
          <w:rFonts w:hint="eastAsia" w:ascii="宋体" w:hAnsi="宋体" w:eastAsia="宋体" w:cs="宋体"/>
          <w:color w:val="auto"/>
          <w:sz w:val="21"/>
          <w:szCs w:val="21"/>
          <w:lang w:val="en-US" w:eastAsia="zh-CN"/>
        </w:rPr>
        <w:t>（5）为用户提供仪器的基本原理、操作、日常维护及基础分析仪器理论课程，并为用户提供至少2人次免费操作技术培训。</w:t>
      </w:r>
    </w:p>
    <w:p w14:paraId="36EB8B2F">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31E19A44">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（八）小无人机</w:t>
      </w:r>
    </w:p>
    <w:p w14:paraId="47D10B44">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设备用途：</w:t>
      </w:r>
    </w:p>
    <w:p w14:paraId="1422A106">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rPr>
        <w:t>用于</w:t>
      </w:r>
      <w:r>
        <w:rPr>
          <w:rFonts w:hint="eastAsia" w:ascii="宋体" w:hAnsi="宋体" w:eastAsia="宋体" w:cs="宋体"/>
          <w:b w:val="0"/>
          <w:bCs w:val="0"/>
          <w:color w:val="auto"/>
          <w:sz w:val="21"/>
          <w:szCs w:val="21"/>
          <w:lang w:val="en-US" w:eastAsia="zh-CN"/>
        </w:rPr>
        <w:t>应急监测、夜间监测现场勘察。</w:t>
      </w:r>
    </w:p>
    <w:p w14:paraId="00559077">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无人机主机</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49FB3BE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起飞重量（无配件）≤2kg</w:t>
      </w:r>
    </w:p>
    <w:p w14:paraId="05AA163A">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最大信号有效距离（无干扰、无遮挡）≥15km</w:t>
      </w:r>
    </w:p>
    <w:p w14:paraId="03E413DA">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最长飞行时间≥45分钟</w:t>
      </w:r>
    </w:p>
    <w:p w14:paraId="20B808EB">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最大可抗风速≥12m/s</w:t>
      </w:r>
    </w:p>
    <w:p w14:paraId="31724AA1">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全向感知系统：飞行器的前、后、左、右、上、下均具备视觉或红外避障传感器，能够在探测到障碍物时在App上进行提醒，并自动减速刹车</w:t>
      </w:r>
    </w:p>
    <w:p w14:paraId="51C5E3EC">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GNSS：支持单北斗模式</w:t>
      </w:r>
    </w:p>
    <w:p w14:paraId="6B66B082">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工作温度：-10°C至40°C</w:t>
      </w:r>
    </w:p>
    <w:p w14:paraId="7F3C6BD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2.8</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GNSS定位悬停精度：垂直≤0.5m，水平≤0.5m</w:t>
      </w:r>
    </w:p>
    <w:p w14:paraId="3E0F5835">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视觉定位悬停精度：垂直≤0.1m，水平≤0.1m</w:t>
      </w:r>
    </w:p>
    <w:p w14:paraId="3FADB5F4">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2.10</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最大飞行海拔高度≥2000米</w:t>
      </w:r>
    </w:p>
    <w:p w14:paraId="0DAD18EA">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图传加密：为保证数据安全，图传链路需进行加密</w:t>
      </w:r>
    </w:p>
    <w:p w14:paraId="5EC28006">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降落保护：在自主降落过程中，无人机飞行器能够检测下方地形，当下方地形为不平整地面或水面，飞行器保持悬停，同时向用户发出警示信息</w:t>
      </w:r>
    </w:p>
    <w:p w14:paraId="7E355E6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具备低电量自动返航功能</w:t>
      </w:r>
    </w:p>
    <w:p w14:paraId="584295B5">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2.14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具备信号丢失自动返航功能</w:t>
      </w:r>
    </w:p>
    <w:p w14:paraId="22BC0D9E">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云台相机</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72B993E9">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3.1 具有长焦可见光、广角可见光和红外热成像相机</w:t>
      </w:r>
    </w:p>
    <w:p w14:paraId="4F68E36B">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3.2 广角相机：CMOS不低于1/2英寸，有效像素不低于4800万</w:t>
      </w:r>
    </w:p>
    <w:p w14:paraId="08C940F1">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3.3 长焦相机：CMOS不低于1/2英寸，像素数不低于1200万</w:t>
      </w:r>
    </w:p>
    <w:p w14:paraId="09FB3B04">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3.4 可见光相机变焦倍数不低于50倍</w:t>
      </w:r>
    </w:p>
    <w:p w14:paraId="04D7C90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3.5 红外传感器分辨率大于600*500</w:t>
      </w:r>
    </w:p>
    <w:p w14:paraId="415C6AD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3.6 红外热成像测温方式：支持点测温和区域测温</w:t>
      </w:r>
    </w:p>
    <w:p w14:paraId="46AC58F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3.7 红外热成像相机：支持多倍数码变焦、可见光与红外热成像联动变焦</w:t>
      </w:r>
    </w:p>
    <w:p w14:paraId="6AF701B5">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lang w:eastAsia="zh-CN"/>
        </w:rPr>
        <w:t>.配置清单</w:t>
      </w:r>
      <w:r>
        <w:rPr>
          <w:rFonts w:hint="eastAsia" w:ascii="宋体" w:hAnsi="宋体" w:eastAsia="宋体" w:cs="宋体"/>
          <w:b/>
          <w:bCs/>
          <w:color w:val="auto"/>
          <w:sz w:val="21"/>
          <w:szCs w:val="21"/>
        </w:rPr>
        <w:t>：</w:t>
      </w:r>
    </w:p>
    <w:p w14:paraId="69F7453D">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4.1 无人机主机1台</w:t>
      </w:r>
    </w:p>
    <w:p w14:paraId="3F8F9C7E">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4.2 云台相机1个</w:t>
      </w:r>
    </w:p>
    <w:p w14:paraId="389DF223">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4.3 智能飞行电池2套</w:t>
      </w:r>
    </w:p>
    <w:p w14:paraId="7E2258DF">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4.4 充电管家1个</w:t>
      </w:r>
    </w:p>
    <w:p w14:paraId="5DEBD196">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4.5 充电器1个</w:t>
      </w:r>
    </w:p>
    <w:p w14:paraId="3CB944A5">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4.6 RTK模块1台</w:t>
      </w:r>
    </w:p>
    <w:p w14:paraId="52639FE9">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4.7 热成像便携机保险1份</w:t>
      </w:r>
    </w:p>
    <w:p w14:paraId="294D3362">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4.8 三者险1份</w:t>
      </w:r>
    </w:p>
    <w:p w14:paraId="019A5A82">
      <w:pPr>
        <w:keepNext w:val="0"/>
        <w:keepLines w:val="0"/>
        <w:pageBreakBefore w:val="0"/>
        <w:widowControl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5.售后服务：</w:t>
      </w:r>
    </w:p>
    <w:p w14:paraId="6CBED72D">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（1）质保期为1年。保修期间，提供免费上门维修、更换非人为原因损坏零部件及技术咨询服务。</w:t>
      </w:r>
    </w:p>
    <w:p w14:paraId="1B196868">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（2）在保修期结束后，保证10年内提供备件、配件供应。</w:t>
      </w:r>
    </w:p>
    <w:p w14:paraId="6F760151">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（3）保证产品为最新原厂设备。</w:t>
      </w:r>
    </w:p>
    <w:p w14:paraId="5FFCF872">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（4）仪器一旦出现问题4小时内做出响应，24小时到现场服务。</w:t>
      </w:r>
    </w:p>
    <w:p w14:paraId="1C4B859E">
      <w:pPr>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（5）为用户提供仪器的基本原理、操作、日常维护及基础分析仪器理论课程，并为用户提供至少2人次免费操作技术培训。</w:t>
      </w:r>
    </w:p>
    <w:p w14:paraId="49312BA9">
      <w:pPr>
        <w:pageBreakBefore w:val="0"/>
        <w:kinsoku/>
        <w:wordWrap/>
        <w:overflowPunct/>
        <w:topLinePunct w:val="0"/>
        <w:autoSpaceDE/>
        <w:autoSpaceDN/>
        <w:bidi w:val="0"/>
        <w:adjustRightInd/>
        <w:snapToGrid/>
        <w:spacing w:line="320" w:lineRule="exact"/>
        <w:ind w:right="0" w:rightChars="0"/>
        <w:jc w:val="left"/>
        <w:textAlignment w:val="auto"/>
        <w:rPr>
          <w:rFonts w:hint="eastAsia" w:ascii="宋体" w:hAnsi="宋体" w:eastAsia="宋体" w:cs="宋体"/>
          <w:color w:val="auto"/>
          <w:sz w:val="21"/>
          <w:szCs w:val="21"/>
        </w:rPr>
      </w:pPr>
    </w:p>
    <w:p w14:paraId="6B061378">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（九）热释光测量系统</w:t>
      </w:r>
    </w:p>
    <w:p w14:paraId="44335A7C">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设备用途：</w:t>
      </w:r>
    </w:p>
    <w:p w14:paraId="034EA97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rPr>
        <w:t>用于辐射累积剂量测量</w:t>
      </w:r>
      <w:r>
        <w:rPr>
          <w:rFonts w:hint="eastAsia" w:ascii="宋体" w:hAnsi="宋体" w:eastAsia="宋体" w:cs="宋体"/>
          <w:b w:val="0"/>
          <w:bCs w:val="0"/>
          <w:color w:val="auto"/>
          <w:sz w:val="21"/>
          <w:szCs w:val="21"/>
          <w:lang w:val="en-US" w:eastAsia="zh-CN"/>
        </w:rPr>
        <w:t>.</w:t>
      </w:r>
    </w:p>
    <w:p w14:paraId="58DF5909">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剂量仪</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6FAC1945">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2.1 量程：0.01μGy～10Gy</w:t>
      </w:r>
    </w:p>
    <w:p w14:paraId="495CA8DA">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2.2 升温速率：1～40℃/s</w:t>
      </w:r>
    </w:p>
    <w:p w14:paraId="00E131A7">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2.3 加热时间：1～400s</w:t>
      </w:r>
    </w:p>
    <w:p w14:paraId="7A6CA73F">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★2.4双通道：单次双样品测量</w:t>
      </w:r>
    </w:p>
    <w:p w14:paraId="68A6473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2.5 温度：室温～400℃</w:t>
      </w:r>
    </w:p>
    <w:p w14:paraId="50790BB1">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2.6 光源稳定度：≤1.0%（连续10次）</w:t>
      </w:r>
    </w:p>
    <w:p w14:paraId="1C487B9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2.7 工作温度：10～40℃</w:t>
      </w:r>
    </w:p>
    <w:p w14:paraId="0896D1EE">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2.8 相对湿度：≤95%</w:t>
      </w:r>
    </w:p>
    <w:p w14:paraId="01B741D7">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软件系统</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5A16CA1C">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数据库可与Excel兼容</w:t>
      </w:r>
    </w:p>
    <w:p w14:paraId="3FAFD2CB">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具备本底扣除功能</w:t>
      </w:r>
    </w:p>
    <w:p w14:paraId="23AF000C">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导出的数据至少包含：单位名称、人员名称、人员编码等</w:t>
      </w:r>
    </w:p>
    <w:p w14:paraId="1E733273">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支持多种报表功能</w:t>
      </w:r>
    </w:p>
    <w:p w14:paraId="0764249D">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退火炉</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2FAF55C9">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4.1温度：室温～400度可设置</w:t>
      </w:r>
    </w:p>
    <w:p w14:paraId="2C84F99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4.2 温控波动不大于±5℃</w:t>
      </w:r>
    </w:p>
    <w:p w14:paraId="1387EA2A">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4.3 可一次性退火不少于200</w:t>
      </w:r>
      <w:r>
        <w:rPr>
          <w:rFonts w:hint="eastAsia" w:ascii="宋体" w:hAnsi="宋体" w:eastAsia="宋体" w:cs="宋体"/>
          <w:color w:val="auto"/>
          <w:sz w:val="21"/>
          <w:szCs w:val="21"/>
        </w:rPr>
        <w:t>片</w:t>
      </w:r>
    </w:p>
    <w:p w14:paraId="71750762">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5</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探测器</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11BB308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探测对象：X-γ射线</w:t>
      </w:r>
    </w:p>
    <w:p w14:paraId="24288ED6">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成分：LiF</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Mg，Cu，P</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材质</w:t>
      </w:r>
    </w:p>
    <w:p w14:paraId="6128FBF6">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规格：φ4.5×0.80mm适配</w:t>
      </w:r>
    </w:p>
    <w:p w14:paraId="0C4CF80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测量范围：1μGy～10Gy</w:t>
      </w:r>
    </w:p>
    <w:p w14:paraId="14409903">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rPr>
        <w:t>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能量响应</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30KeV～3MeV的光子</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：＜20%</w:t>
      </w:r>
    </w:p>
    <w:p w14:paraId="10D8951F">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rPr>
        <w:t>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角度响应：＜11%</w:t>
      </w:r>
    </w:p>
    <w:p w14:paraId="6FFE93D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rPr>
        <w:t>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重复性</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离散度</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：≤2%</w:t>
      </w:r>
    </w:p>
    <w:p w14:paraId="2CF9B49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lang w:val="en-US" w:eastAsia="zh-CN"/>
        </w:rPr>
        <w:t xml:space="preserve">8 </w:t>
      </w:r>
      <w:r>
        <w:rPr>
          <w:rFonts w:hint="eastAsia" w:ascii="宋体" w:hAnsi="宋体" w:eastAsia="宋体" w:cs="宋体"/>
          <w:color w:val="auto"/>
          <w:sz w:val="21"/>
          <w:szCs w:val="21"/>
        </w:rPr>
        <w:t>相对灵敏度</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TLD-100</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60倍</w:t>
      </w:r>
    </w:p>
    <w:p w14:paraId="7F6116B4">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lang w:val="en-US" w:eastAsia="zh-CN"/>
        </w:rPr>
        <w:t xml:space="preserve">9 </w:t>
      </w:r>
      <w:r>
        <w:rPr>
          <w:rFonts w:hint="eastAsia" w:ascii="宋体" w:hAnsi="宋体" w:eastAsia="宋体" w:cs="宋体"/>
          <w:color w:val="auto"/>
          <w:sz w:val="21"/>
          <w:szCs w:val="21"/>
        </w:rPr>
        <w:t>线性范围：100nGy～12Gy</w:t>
      </w:r>
    </w:p>
    <w:p w14:paraId="0B48DD2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 xml:space="preserve">0 </w:t>
      </w:r>
      <w:r>
        <w:rPr>
          <w:rFonts w:hint="eastAsia" w:ascii="宋体" w:hAnsi="宋体" w:eastAsia="宋体" w:cs="宋体"/>
          <w:color w:val="auto"/>
          <w:sz w:val="21"/>
          <w:szCs w:val="21"/>
        </w:rPr>
        <w:t>探测阈：≤0.1μGy</w:t>
      </w:r>
    </w:p>
    <w:p w14:paraId="37679724">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6</w:t>
      </w:r>
      <w:r>
        <w:rPr>
          <w:rFonts w:hint="eastAsia" w:ascii="宋体" w:hAnsi="宋体" w:eastAsia="宋体" w:cs="宋体"/>
          <w:b/>
          <w:bCs/>
          <w:color w:val="auto"/>
          <w:sz w:val="21"/>
          <w:szCs w:val="21"/>
          <w:lang w:eastAsia="zh-CN"/>
        </w:rPr>
        <w:t>.配置清单</w:t>
      </w:r>
      <w:r>
        <w:rPr>
          <w:rFonts w:hint="eastAsia" w:ascii="宋体" w:hAnsi="宋体" w:eastAsia="宋体" w:cs="宋体"/>
          <w:b/>
          <w:bCs/>
          <w:color w:val="auto"/>
          <w:sz w:val="21"/>
          <w:szCs w:val="21"/>
        </w:rPr>
        <w:t>：</w:t>
      </w:r>
    </w:p>
    <w:p w14:paraId="419A4952">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6.</w:t>
      </w: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热释光剂量仪1台</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含软件</w:t>
      </w:r>
      <w:r>
        <w:rPr>
          <w:rFonts w:hint="eastAsia" w:ascii="宋体" w:hAnsi="宋体" w:eastAsia="宋体" w:cs="宋体"/>
          <w:color w:val="auto"/>
          <w:sz w:val="21"/>
          <w:szCs w:val="21"/>
          <w:lang w:eastAsia="zh-CN"/>
        </w:rPr>
        <w:t>）</w:t>
      </w:r>
    </w:p>
    <w:p w14:paraId="6890075E">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6.</w:t>
      </w:r>
      <w:r>
        <w:rPr>
          <w:rFonts w:hint="eastAsia" w:ascii="宋体" w:hAnsi="宋体" w:eastAsia="宋体" w:cs="宋体"/>
          <w:color w:val="auto"/>
          <w:sz w:val="21"/>
          <w:szCs w:val="21"/>
          <w:lang w:val="en-US" w:eastAsia="zh-CN"/>
        </w:rPr>
        <w:t xml:space="preserve">2 </w:t>
      </w:r>
      <w:r>
        <w:rPr>
          <w:rFonts w:hint="eastAsia" w:ascii="宋体" w:hAnsi="宋体" w:eastAsia="宋体" w:cs="宋体"/>
          <w:color w:val="auto"/>
          <w:sz w:val="21"/>
          <w:szCs w:val="21"/>
        </w:rPr>
        <w:t>热释光退火炉1台</w:t>
      </w:r>
    </w:p>
    <w:p w14:paraId="69BC26D5">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6.</w:t>
      </w:r>
      <w:r>
        <w:rPr>
          <w:rFonts w:hint="eastAsia" w:ascii="宋体" w:hAnsi="宋体" w:eastAsia="宋体" w:cs="宋体"/>
          <w:color w:val="auto"/>
          <w:sz w:val="21"/>
          <w:szCs w:val="21"/>
          <w:lang w:val="en-US" w:eastAsia="zh-CN"/>
        </w:rPr>
        <w:t xml:space="preserve">3 </w:t>
      </w:r>
      <w:r>
        <w:rPr>
          <w:rFonts w:hint="eastAsia" w:ascii="宋体" w:hAnsi="宋体" w:eastAsia="宋体" w:cs="宋体"/>
          <w:color w:val="auto"/>
          <w:sz w:val="21"/>
          <w:szCs w:val="21"/>
        </w:rPr>
        <w:t>电脑、打印机各1台</w:t>
      </w:r>
    </w:p>
    <w:p w14:paraId="03EC2061">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6.</w:t>
      </w:r>
      <w:r>
        <w:rPr>
          <w:rFonts w:hint="eastAsia" w:ascii="宋体" w:hAnsi="宋体" w:eastAsia="宋体" w:cs="宋体"/>
          <w:color w:val="auto"/>
          <w:sz w:val="21"/>
          <w:szCs w:val="21"/>
          <w:lang w:val="en-US" w:eastAsia="zh-CN"/>
        </w:rPr>
        <w:t xml:space="preserve">4 </w:t>
      </w:r>
      <w:r>
        <w:rPr>
          <w:rFonts w:hint="eastAsia" w:ascii="宋体" w:hAnsi="宋体" w:eastAsia="宋体" w:cs="宋体"/>
          <w:color w:val="auto"/>
          <w:sz w:val="21"/>
          <w:szCs w:val="21"/>
        </w:rPr>
        <w:t>计量院检定证书1套</w:t>
      </w:r>
    </w:p>
    <w:p w14:paraId="0A536D8F">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6.</w:t>
      </w:r>
      <w:r>
        <w:rPr>
          <w:rFonts w:hint="eastAsia" w:ascii="宋体" w:hAnsi="宋体" w:eastAsia="宋体" w:cs="宋体"/>
          <w:color w:val="auto"/>
          <w:sz w:val="21"/>
          <w:szCs w:val="21"/>
          <w:lang w:val="en-US" w:eastAsia="zh-CN"/>
        </w:rPr>
        <w:t xml:space="preserve">5 </w:t>
      </w:r>
      <w:r>
        <w:rPr>
          <w:rFonts w:hint="eastAsia" w:ascii="宋体" w:hAnsi="宋体" w:eastAsia="宋体" w:cs="宋体"/>
          <w:color w:val="auto"/>
          <w:sz w:val="21"/>
          <w:szCs w:val="21"/>
        </w:rPr>
        <w:t>热释光剂量片200片</w:t>
      </w:r>
    </w:p>
    <w:p w14:paraId="2732B41A">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 xml:space="preserve">6 </w:t>
      </w:r>
      <w:r>
        <w:rPr>
          <w:rFonts w:hint="eastAsia" w:ascii="宋体" w:hAnsi="宋体" w:eastAsia="宋体" w:cs="宋体"/>
          <w:color w:val="auto"/>
          <w:sz w:val="21"/>
          <w:szCs w:val="21"/>
        </w:rPr>
        <w:t>剂量盒100个</w:t>
      </w:r>
    </w:p>
    <w:p w14:paraId="55119FB8">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7.售后服务：</w:t>
      </w:r>
    </w:p>
    <w:p w14:paraId="2291EA88">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（1）质保期为1年。保修期间，提供免费上门维修、更换非人为原因损坏零部件及技术咨询服务。</w:t>
      </w:r>
    </w:p>
    <w:p w14:paraId="4E0A55AC">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（2）在保修期结束后，保证10年内提供备件、配件供应。</w:t>
      </w:r>
    </w:p>
    <w:p w14:paraId="13467619">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（3）保证产品为最新原厂设备。</w:t>
      </w:r>
    </w:p>
    <w:p w14:paraId="6B153247">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（4）仪器一旦出现问题4小时内做出响应，24小时到现场服务。</w:t>
      </w:r>
    </w:p>
    <w:p w14:paraId="321F4501">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Times New Roman" w:hAnsi="Times New Roman" w:cs="Times New Roman"/>
          <w:color w:val="auto"/>
          <w:sz w:val="24"/>
          <w:szCs w:val="24"/>
          <w:lang w:val="en-US" w:eastAsia="zh-CN"/>
        </w:rPr>
      </w:pPr>
      <w:r>
        <w:rPr>
          <w:rFonts w:hint="eastAsia" w:ascii="宋体" w:hAnsi="宋体" w:eastAsia="宋体" w:cs="宋体"/>
          <w:color w:val="auto"/>
          <w:sz w:val="21"/>
          <w:szCs w:val="21"/>
          <w:lang w:val="en-US" w:eastAsia="zh-CN"/>
        </w:rPr>
        <w:t>（5）为用户提供仪器的基本原理、操作、日常维护及基础分析仪器理论课程，并为用户提供至少2人次免费操作技术培训。</w:t>
      </w:r>
    </w:p>
    <w:p w14:paraId="41C15A7C">
      <w:pPr>
        <w:pageBreakBefore w:val="0"/>
        <w:kinsoku/>
        <w:wordWrap/>
        <w:overflowPunct/>
        <w:topLinePunct w:val="0"/>
        <w:bidi w:val="0"/>
        <w:spacing w:line="320" w:lineRule="exact"/>
        <w:rPr>
          <w:rFonts w:hint="eastAsia" w:ascii="Times New Roman" w:hAnsi="Times New Roman" w:cs="Times New Roman"/>
          <w:color w:val="auto"/>
          <w:sz w:val="24"/>
          <w:szCs w:val="24"/>
          <w:lang w:val="en-US" w:eastAsia="zh-CN"/>
        </w:rPr>
      </w:pPr>
    </w:p>
    <w:p w14:paraId="55899D73">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（十）辐射防护装备</w:t>
      </w:r>
    </w:p>
    <w:p w14:paraId="38490408">
      <w:pPr>
        <w:pageBreakBefore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1.设备用途：</w:t>
      </w:r>
    </w:p>
    <w:p w14:paraId="57EA2DD2">
      <w:pPr>
        <w:pageBreakBefore w:val="0"/>
        <w:kinsoku/>
        <w:wordWrap/>
        <w:overflowPunct/>
        <w:topLinePunct w:val="0"/>
        <w:autoSpaceDE/>
        <w:autoSpaceDN/>
        <w:bidi w:val="0"/>
        <w:adjustRightInd/>
        <w:snapToGrid/>
        <w:spacing w:line="320" w:lineRule="exact"/>
        <w:ind w:firstLine="420" w:firstLineChars="200"/>
        <w:jc w:val="left"/>
        <w:textAlignment w:val="auto"/>
        <w:rPr>
          <w:rFonts w:hint="default" w:ascii="宋体" w:hAnsi="宋体" w:eastAsia="宋体" w:cs="宋体"/>
          <w:b/>
          <w:bCs/>
          <w:color w:val="auto"/>
          <w:sz w:val="21"/>
          <w:szCs w:val="21"/>
          <w:lang w:val="en-US" w:eastAsia="zh-CN"/>
        </w:rPr>
      </w:pPr>
      <w:r>
        <w:rPr>
          <w:rFonts w:hint="eastAsia" w:ascii="宋体" w:hAnsi="宋体" w:eastAsia="宋体" w:cs="宋体"/>
          <w:b w:val="0"/>
          <w:bCs w:val="0"/>
          <w:color w:val="auto"/>
          <w:sz w:val="21"/>
          <w:szCs w:val="21"/>
          <w:lang w:val="en-US" w:eastAsia="zh-CN"/>
        </w:rPr>
        <w:t>用于辐射监测人员安全防护.</w:t>
      </w:r>
    </w:p>
    <w:p w14:paraId="7F5CC5F6">
      <w:pPr>
        <w:pageBreakBefore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技术参数：</w:t>
      </w:r>
    </w:p>
    <w:p w14:paraId="02A57381">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屏蔽层由改性铅橡胶、含重金属铅分子元素的防护材料组成</w:t>
      </w:r>
    </w:p>
    <w:p w14:paraId="39FA8D0F">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外层面料具有防酸碱喷溅能力，易清洁，内层面料具有耐磨、防水、抗汗性能</w:t>
      </w:r>
    </w:p>
    <w:p w14:paraId="7D73B9D0">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可防护从低能到高能α、β、X、γ射线，防护核气溶胶和生化学物质的污染</w:t>
      </w:r>
    </w:p>
    <w:p w14:paraId="21F89C0E">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防护效率：躯干部位（胸、腹、裆部）对130keV的γ射线防护效率不小于60%，其他部位（如后背、四肢、头罩等）不小于30%</w:t>
      </w:r>
    </w:p>
    <w:p w14:paraId="2556179D">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防护能力：对α、β射线防护效率100%</w:t>
      </w:r>
    </w:p>
    <w:p w14:paraId="24BA9902">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防护铅当量：≥0.35mmPb；防护铅面屏铅当量：≥0.25mmPb</w:t>
      </w:r>
    </w:p>
    <w:p w14:paraId="5E85CE49">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符合国标GBZ/T147-2002《X射线防护材料衰减性能的测定》</w:t>
      </w:r>
    </w:p>
    <w:p w14:paraId="0891AECC">
      <w:pPr>
        <w:pageBreakBefore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.配置清单</w:t>
      </w:r>
      <w:r>
        <w:rPr>
          <w:rFonts w:hint="eastAsia" w:ascii="宋体" w:hAnsi="宋体" w:eastAsia="宋体" w:cs="宋体"/>
          <w:b/>
          <w:bCs/>
          <w:color w:val="auto"/>
          <w:sz w:val="21"/>
          <w:szCs w:val="21"/>
        </w:rPr>
        <w:t>：</w:t>
      </w:r>
    </w:p>
    <w:p w14:paraId="1CE6D067">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分体式铅防护服1套</w:t>
      </w:r>
    </w:p>
    <w:p w14:paraId="0C7AFC72">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铅防护靴1双</w:t>
      </w:r>
    </w:p>
    <w:p w14:paraId="231E83F8">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分指型铅手套1双</w:t>
      </w:r>
    </w:p>
    <w:p w14:paraId="0BC6AE2B">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铅帽铅脖1个</w:t>
      </w:r>
    </w:p>
    <w:p w14:paraId="78C6D667">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防护铅面屏1个</w:t>
      </w:r>
    </w:p>
    <w:p w14:paraId="50FBB326">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标准侧封铅眼镜1</w:t>
      </w:r>
      <w:r>
        <w:rPr>
          <w:rFonts w:hint="eastAsia" w:ascii="宋体" w:hAnsi="宋体" w:eastAsia="宋体" w:cs="宋体"/>
          <w:color w:val="auto"/>
          <w:sz w:val="21"/>
          <w:szCs w:val="21"/>
          <w:lang w:val="en-US" w:eastAsia="zh-CN"/>
        </w:rPr>
        <w:t>副</w:t>
      </w:r>
    </w:p>
    <w:p w14:paraId="1F2EEF71">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便携收纳箱1个</w:t>
      </w:r>
    </w:p>
    <w:p w14:paraId="4490A59F">
      <w:pPr>
        <w:pageBreakBefore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4.售后服务：</w:t>
      </w:r>
    </w:p>
    <w:p w14:paraId="0CDF062C">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（1）质保期为1年。保修期间，提供免费上门更换非人为原因损坏配件。</w:t>
      </w:r>
    </w:p>
    <w:p w14:paraId="22282C0B">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（2）在保修期结束后，保证10年内提供配件供应。</w:t>
      </w:r>
    </w:p>
    <w:p w14:paraId="61F23D73">
      <w:pPr>
        <w:pageBreakBefore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（3）保证产品为最新原厂装备。</w:t>
      </w:r>
    </w:p>
    <w:p w14:paraId="7C2FE1A4">
      <w:pPr>
        <w:pageBreakBefore w:val="0"/>
        <w:kinsoku/>
        <w:wordWrap/>
        <w:overflowPunct/>
        <w:topLinePunct w:val="0"/>
        <w:autoSpaceDE/>
        <w:autoSpaceDN/>
        <w:bidi w:val="0"/>
        <w:adjustRightInd/>
        <w:snapToGrid/>
        <w:spacing w:line="320" w:lineRule="exact"/>
        <w:ind w:firstLine="420" w:firstLineChars="200"/>
        <w:jc w:val="left"/>
        <w:textAlignment w:val="auto"/>
        <w:rPr>
          <w:rFonts w:ascii="宋体" w:hAnsi="宋体" w:eastAsia="宋体" w:cs="宋体"/>
          <w:color w:val="auto"/>
          <w:sz w:val="24"/>
        </w:rPr>
      </w:pPr>
      <w:r>
        <w:rPr>
          <w:rFonts w:hint="eastAsia" w:ascii="宋体" w:hAnsi="宋体" w:eastAsia="宋体" w:cs="宋体"/>
          <w:color w:val="auto"/>
          <w:sz w:val="21"/>
          <w:szCs w:val="21"/>
          <w:lang w:val="en-US" w:eastAsia="zh-CN"/>
        </w:rPr>
        <w:t>（4）装备一旦出现问题4小时内做出响应，24小时到现场服务。</w:t>
      </w:r>
    </w:p>
    <w:p w14:paraId="6895B8FA">
      <w:pPr>
        <w:pageBreakBefore w:val="0"/>
        <w:kinsoku/>
        <w:wordWrap/>
        <w:overflowPunct/>
        <w:topLinePunct w:val="0"/>
        <w:bidi w:val="0"/>
        <w:spacing w:line="320" w:lineRule="exact"/>
        <w:jc w:val="left"/>
        <w:rPr>
          <w:rFonts w:ascii="宋体" w:hAnsi="宋体" w:eastAsia="宋体" w:cs="宋体"/>
          <w:color w:val="auto"/>
          <w:sz w:val="24"/>
        </w:rPr>
      </w:pPr>
    </w:p>
    <w:p w14:paraId="412A24F4">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（十一）</w:t>
      </w:r>
      <w:r>
        <w:rPr>
          <w:rFonts w:hint="default" w:ascii="宋体" w:hAnsi="宋体" w:eastAsia="宋体" w:cs="宋体"/>
          <w:color w:val="auto"/>
          <w:sz w:val="21"/>
          <w:szCs w:val="21"/>
          <w:lang w:val="en-US" w:eastAsia="zh-CN"/>
        </w:rPr>
        <w:t>离子计</w:t>
      </w:r>
    </w:p>
    <w:p w14:paraId="77DDC0E1">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1.设备用途：</w:t>
      </w:r>
    </w:p>
    <w:p w14:paraId="7A0645A4">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val="0"/>
          <w:bCs w:val="0"/>
          <w:color w:val="auto"/>
          <w:sz w:val="21"/>
          <w:szCs w:val="21"/>
          <w:lang w:val="en-US" w:eastAsia="zh-CN"/>
        </w:rPr>
        <w:t>用于海水中氟化物样品分析。</w:t>
      </w:r>
    </w:p>
    <w:p w14:paraId="52740DDE">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技术参数：</w:t>
      </w:r>
    </w:p>
    <w:p w14:paraId="581C9D08">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测量参数：pH/pX，mV，离子，温度</w:t>
      </w:r>
    </w:p>
    <w:p w14:paraId="48E03EAE">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测量范围：pH/pX：-2.000～20.000；mV：-2000.0～2000.0；温度：-30.0～130.0℃</w:t>
      </w:r>
    </w:p>
    <w:p w14:paraId="62FD9E80">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分辨率：0.001pH/ pX，0.1 mV，温度0.1℃，浓度四位有效数字（科学计数法）</w:t>
      </w:r>
    </w:p>
    <w:p w14:paraId="403F5F4A">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精度：pH/pX：±0.002；mV（–500.0～500.0mV）：±0.1或（–2000.0～2000.0mV）：±0.2；离子浓度：测量值的±0.5%；温度（0-100℃）：±0.1℃</w:t>
      </w:r>
    </w:p>
    <w:p w14:paraId="57702083">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有自动校正、自动识别缓冲液，自动温度补偿、自动终点锁定功能</w:t>
      </w:r>
    </w:p>
    <w:p w14:paraId="2B0389CD">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终点模式：自动，手动，时间间隔，三种终点模式可供选</w:t>
      </w:r>
      <w:r>
        <w:rPr>
          <w:rFonts w:hint="eastAsia" w:ascii="宋体" w:hAnsi="宋体" w:eastAsia="宋体" w:cs="宋体"/>
          <w:color w:val="auto"/>
          <w:sz w:val="21"/>
          <w:szCs w:val="21"/>
        </w:rPr>
        <w:t>择</w:t>
      </w:r>
      <w:r>
        <w:rPr>
          <w:rFonts w:hint="eastAsia" w:ascii="宋体" w:hAnsi="宋体" w:eastAsia="宋体" w:cs="宋体"/>
          <w:color w:val="auto"/>
          <w:sz w:val="21"/>
          <w:szCs w:val="21"/>
          <w:lang w:eastAsia="zh-CN"/>
        </w:rPr>
        <w:t>。</w:t>
      </w:r>
    </w:p>
    <w:p w14:paraId="3DD041EA">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.配置清单</w:t>
      </w:r>
      <w:r>
        <w:rPr>
          <w:rFonts w:hint="eastAsia" w:ascii="宋体" w:hAnsi="宋体" w:eastAsia="宋体" w:cs="宋体"/>
          <w:b/>
          <w:bCs/>
          <w:color w:val="auto"/>
          <w:sz w:val="21"/>
          <w:szCs w:val="21"/>
        </w:rPr>
        <w:t>：</w:t>
      </w:r>
      <w:r>
        <w:rPr>
          <w:rFonts w:hint="eastAsia" w:ascii="宋体" w:hAnsi="宋体" w:eastAsia="宋体" w:cs="宋体"/>
          <w:color w:val="auto"/>
          <w:sz w:val="21"/>
          <w:szCs w:val="21"/>
        </w:rPr>
        <w:t>主机1台、电极1根、电极支架1个</w:t>
      </w:r>
      <w:r>
        <w:rPr>
          <w:rFonts w:hint="eastAsia" w:ascii="宋体" w:hAnsi="宋体" w:eastAsia="宋体" w:cs="宋体"/>
          <w:color w:val="auto"/>
          <w:sz w:val="21"/>
          <w:szCs w:val="21"/>
          <w:lang w:eastAsia="zh-CN"/>
        </w:rPr>
        <w:t>。</w:t>
      </w:r>
    </w:p>
    <w:p w14:paraId="38CA2024">
      <w:pPr>
        <w:keepNext w:val="0"/>
        <w:keepLines w:val="0"/>
        <w:pageBreakBefore w:val="0"/>
        <w:widowControl w:val="0"/>
        <w:kinsoku/>
        <w:wordWrap/>
        <w:overflowPunct/>
        <w:topLinePunct w:val="0"/>
        <w:autoSpaceDE/>
        <w:autoSpaceDN/>
        <w:bidi w:val="0"/>
        <w:adjustRightInd/>
        <w:snapToGrid/>
        <w:spacing w:line="320" w:lineRule="exact"/>
        <w:ind w:firstLine="422"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4.售后服务：</w:t>
      </w:r>
    </w:p>
    <w:p w14:paraId="338A6191">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（1）质保期为1年。保修期间，提供免费上门维修、更换非人为原因损坏零部件及技术咨询服务。</w:t>
      </w:r>
    </w:p>
    <w:p w14:paraId="76B9A0B7">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（2）在保修期结束后，保证10年内提供备件、配件供应。</w:t>
      </w:r>
    </w:p>
    <w:p w14:paraId="32AD6BB2">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（3）保证产品为最新原厂设备。</w:t>
      </w:r>
    </w:p>
    <w:p w14:paraId="2B9A170D">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（4）仪器一旦出现问题4小时内做出响应，24小时到现场服务。</w:t>
      </w:r>
    </w:p>
    <w:p w14:paraId="0627EBF9">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rPr>
          <w:rFonts w:ascii="宋体" w:hAnsi="宋体" w:eastAsia="宋体" w:cs="宋体"/>
          <w:color w:val="auto"/>
          <w:sz w:val="24"/>
        </w:rPr>
      </w:pPr>
      <w:r>
        <w:rPr>
          <w:rFonts w:hint="eastAsia" w:ascii="宋体" w:hAnsi="宋体" w:eastAsia="宋体" w:cs="宋体"/>
          <w:color w:val="auto"/>
          <w:sz w:val="21"/>
          <w:szCs w:val="21"/>
          <w:lang w:val="en-US" w:eastAsia="zh-CN"/>
        </w:rPr>
        <w:t>（5）为用户提供仪器的基本原理、操作、日常维护及基础分析仪器理论课程，并为用户提供至少2人次免费操作技术培训。</w:t>
      </w:r>
    </w:p>
    <w:p w14:paraId="3AFAD09E">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4FCF99FC">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（十二）测氡仪</w:t>
      </w:r>
    </w:p>
    <w:p w14:paraId="083ECEA4">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1.设备用途：</w:t>
      </w:r>
    </w:p>
    <w:p w14:paraId="6049C52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val="0"/>
          <w:bCs w:val="0"/>
          <w:color w:val="auto"/>
          <w:sz w:val="21"/>
          <w:szCs w:val="21"/>
          <w:lang w:val="en-US" w:eastAsia="zh-CN"/>
        </w:rPr>
        <w:t>用于测量空气中放射性物质氡的浓度。</w:t>
      </w:r>
    </w:p>
    <w:p w14:paraId="216B40D6">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p>
    <w:p w14:paraId="62EC2525">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2.1探测器：α半导体探测器</w:t>
      </w:r>
    </w:p>
    <w:p w14:paraId="2CB5DB5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2.2测量方法：符合《环境空气中氡的测量方法》（HJ 1212-2021）</w:t>
      </w:r>
    </w:p>
    <w:p w14:paraId="119A126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2.3干燥：具备主动式采样时的气体干燥功能</w:t>
      </w:r>
    </w:p>
    <w:p w14:paraId="33AC8BD4">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测量方式：支持瞬时测量和连续测量</w:t>
      </w:r>
    </w:p>
    <w:p w14:paraId="046C21C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功能：具备室内环境222Rn、220Rn气体活度浓度测量、析出率现场测量功能</w:t>
      </w:r>
    </w:p>
    <w:p w14:paraId="78F5ED04">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内部存储：可存储不少于4000条完整测量结果数据，含能谱数据，循环覆盖</w:t>
      </w:r>
    </w:p>
    <w:p w14:paraId="45B0D7AC">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2.7</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灵敏度：测量设备灵敏度高、稳定性好</w:t>
      </w:r>
    </w:p>
    <w:p w14:paraId="34EA205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2.8</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探测下限：≤5.0Bqm-3</w:t>
      </w:r>
    </w:p>
    <w:p w14:paraId="5B595EFC">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2.9</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显示：中文显示</w:t>
      </w:r>
    </w:p>
    <w:p w14:paraId="5F54124A">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2.10</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流量：具备自稳定恒流功能</w:t>
      </w:r>
    </w:p>
    <w:p w14:paraId="72BF9D73">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通信：支持RS232或USB</w:t>
      </w:r>
    </w:p>
    <w:p w14:paraId="1B1B7C7B">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工作湿度：95%RH以下（未凝结）</w:t>
      </w:r>
    </w:p>
    <w:p w14:paraId="68A1B8B9">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2.13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供电方式：电源适配器，配置</w:t>
      </w:r>
      <w:r>
        <w:rPr>
          <w:rFonts w:hint="eastAsia" w:ascii="宋体" w:hAnsi="宋体" w:eastAsia="宋体" w:cs="宋体"/>
          <w:color w:val="auto"/>
          <w:sz w:val="21"/>
          <w:szCs w:val="21"/>
          <w:lang w:val="en-US" w:eastAsia="zh-CN"/>
        </w:rPr>
        <w:t>备用</w:t>
      </w:r>
      <w:r>
        <w:rPr>
          <w:rFonts w:hint="eastAsia" w:ascii="宋体" w:hAnsi="宋体" w:eastAsia="宋体" w:cs="宋体"/>
          <w:color w:val="auto"/>
          <w:sz w:val="21"/>
          <w:szCs w:val="21"/>
          <w:lang w:eastAsia="zh-CN"/>
        </w:rPr>
        <w:t>电池</w:t>
      </w:r>
    </w:p>
    <w:p w14:paraId="1563D3F1">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default" w:ascii="宋体" w:hAnsi="宋体" w:eastAsia="宋体" w:cs="宋体"/>
          <w:b/>
          <w:bCs/>
          <w:color w:val="auto"/>
          <w:sz w:val="21"/>
          <w:szCs w:val="21"/>
          <w:lang w:val="en-US" w:eastAsia="zh-CN"/>
        </w:rPr>
      </w:pPr>
      <w:r>
        <w:rPr>
          <w:rFonts w:hint="eastAsia" w:ascii="宋体" w:hAnsi="宋体" w:eastAsia="宋体" w:cs="宋体"/>
          <w:color w:val="auto"/>
          <w:sz w:val="21"/>
          <w:szCs w:val="21"/>
          <w:lang w:eastAsia="zh-CN"/>
        </w:rPr>
        <w:t>2.14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重量：≤5kg</w:t>
      </w:r>
    </w:p>
    <w:p w14:paraId="4AAA4731">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配置</w:t>
      </w:r>
      <w:r>
        <w:rPr>
          <w:rFonts w:hint="eastAsia" w:ascii="宋体" w:hAnsi="宋体" w:eastAsia="宋体" w:cs="宋体"/>
          <w:b/>
          <w:bCs/>
          <w:color w:val="auto"/>
          <w:sz w:val="21"/>
          <w:szCs w:val="21"/>
          <w:lang w:val="en-US" w:eastAsia="zh-CN"/>
        </w:rPr>
        <w:t>清单</w:t>
      </w:r>
      <w:r>
        <w:rPr>
          <w:rFonts w:hint="eastAsia" w:ascii="宋体" w:hAnsi="宋体" w:eastAsia="宋体" w:cs="宋体"/>
          <w:b/>
          <w:bCs/>
          <w:color w:val="auto"/>
          <w:sz w:val="21"/>
          <w:szCs w:val="21"/>
          <w:lang w:eastAsia="zh-CN"/>
        </w:rPr>
        <w:t>：</w:t>
      </w:r>
    </w:p>
    <w:p w14:paraId="20E22779">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便携式测氡仪主机1台</w:t>
      </w:r>
    </w:p>
    <w:p w14:paraId="58AEB7B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便携仪器箱1个</w:t>
      </w:r>
    </w:p>
    <w:p w14:paraId="3775C33F">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电源适配器1根</w:t>
      </w:r>
    </w:p>
    <w:p w14:paraId="79D50560">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3.</w:t>
      </w: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数据连接线1根</w:t>
      </w:r>
    </w:p>
    <w:p w14:paraId="05966CF0">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4.售后服务：</w:t>
      </w:r>
    </w:p>
    <w:p w14:paraId="29668C25">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（1）质保期为1年。保修期间，提供免费上门维修、更换非人为原因损坏零部件及技术咨询服务。</w:t>
      </w:r>
    </w:p>
    <w:p w14:paraId="4E66C814">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（2）在保修期结束后，保证10年内提供备件、配件供应。</w:t>
      </w:r>
    </w:p>
    <w:p w14:paraId="12B4E156">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（3）保证产品为最新原厂设备。</w:t>
      </w:r>
    </w:p>
    <w:p w14:paraId="0252534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（4）仪器一旦出现问题4小时内做出响应，24小时到现场服务。</w:t>
      </w:r>
    </w:p>
    <w:p w14:paraId="697AF04E">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（5）为用户提供仪器的基本原理、操作、日常维护及基础分析仪器理论课程，并为用户提供至少2人次免费操作技术培训。</w:t>
      </w:r>
    </w:p>
    <w:p w14:paraId="40052800">
      <w:pPr>
        <w:pageBreakBefore w:val="0"/>
        <w:kinsoku/>
        <w:wordWrap/>
        <w:overflowPunct/>
        <w:topLinePunct w:val="0"/>
        <w:autoSpaceDE/>
        <w:autoSpaceDN/>
        <w:bidi w:val="0"/>
        <w:adjustRightInd/>
        <w:snapToGrid/>
        <w:spacing w:line="320" w:lineRule="exact"/>
        <w:ind w:right="0" w:rightChars="0"/>
        <w:jc w:val="left"/>
        <w:textAlignment w:val="auto"/>
        <w:rPr>
          <w:rFonts w:hint="eastAsia" w:ascii="宋体" w:hAnsi="宋体" w:eastAsia="宋体" w:cs="宋体"/>
          <w:b/>
          <w:bCs/>
          <w:color w:val="auto"/>
          <w:sz w:val="21"/>
          <w:szCs w:val="21"/>
        </w:rPr>
      </w:pPr>
    </w:p>
    <w:p w14:paraId="0EC99574">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（十三）手持式寻源仪</w:t>
      </w:r>
    </w:p>
    <w:p w14:paraId="603262FE">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1.设备用途：</w:t>
      </w:r>
    </w:p>
    <w:p w14:paraId="5CA00517">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default" w:ascii="宋体" w:hAnsi="宋体" w:eastAsia="宋体" w:cs="宋体"/>
          <w:b/>
          <w:bCs/>
          <w:color w:val="auto"/>
          <w:kern w:val="0"/>
          <w:sz w:val="21"/>
          <w:szCs w:val="21"/>
          <w:lang w:val="en-US" w:eastAsia="zh-CN"/>
        </w:rPr>
      </w:pPr>
      <w:r>
        <w:rPr>
          <w:rFonts w:hint="eastAsia" w:ascii="宋体" w:hAnsi="宋体" w:eastAsia="宋体" w:cs="宋体"/>
          <w:b w:val="0"/>
          <w:bCs w:val="0"/>
          <w:color w:val="auto"/>
          <w:sz w:val="21"/>
          <w:szCs w:val="21"/>
          <w:lang w:val="en-US" w:eastAsia="zh-CN"/>
        </w:rPr>
        <w:t>用于辐射应急监测寻源。</w:t>
      </w:r>
    </w:p>
    <w:p w14:paraId="24043080">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技术</w:t>
      </w:r>
      <w:r>
        <w:rPr>
          <w:rFonts w:hint="eastAsia" w:ascii="宋体" w:hAnsi="宋体" w:eastAsia="宋体" w:cs="宋体"/>
          <w:b/>
          <w:bCs/>
          <w:color w:val="auto"/>
          <w:sz w:val="21"/>
          <w:szCs w:val="21"/>
        </w:rPr>
        <w:t>参数</w:t>
      </w:r>
      <w:r>
        <w:rPr>
          <w:rFonts w:hint="eastAsia" w:ascii="宋体" w:hAnsi="宋体" w:eastAsia="宋体" w:cs="宋体"/>
          <w:b/>
          <w:bCs/>
          <w:color w:val="auto"/>
          <w:sz w:val="21"/>
          <w:szCs w:val="21"/>
          <w:lang w:eastAsia="zh-CN"/>
        </w:rPr>
        <w:t>：</w:t>
      </w:r>
    </w:p>
    <w:p w14:paraId="198101A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w:t>
      </w:r>
      <w:r>
        <w:rPr>
          <w:rFonts w:hint="eastAsia" w:ascii="宋体" w:hAnsi="宋体" w:eastAsia="宋体" w:cs="宋体"/>
          <w:color w:val="auto"/>
          <w:sz w:val="21"/>
          <w:szCs w:val="21"/>
          <w:lang w:val="en-US" w:eastAsia="zh-CN"/>
        </w:rPr>
        <w:t xml:space="preserve">1 </w:t>
      </w:r>
      <w:r>
        <w:rPr>
          <w:rFonts w:hint="eastAsia" w:ascii="宋体" w:hAnsi="宋体" w:eastAsia="宋体" w:cs="宋体"/>
          <w:color w:val="auto"/>
          <w:sz w:val="21"/>
          <w:szCs w:val="21"/>
          <w:lang w:eastAsia="zh-CN"/>
        </w:rPr>
        <w:t>具备快速搜寻放射源功能</w:t>
      </w:r>
    </w:p>
    <w:p w14:paraId="4D62C73C">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外形紧凑，适合单手操作</w:t>
      </w:r>
    </w:p>
    <w:p w14:paraId="4EEF66CE">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测量仪同时显示γ剂量率和360º方位信息</w:t>
      </w:r>
    </w:p>
    <w:p w14:paraId="7F7B178F">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可电池供电，续航≥12小时</w:t>
      </w:r>
    </w:p>
    <w:p w14:paraId="6B09C99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2.5</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工作环境-20℃～40℃</w:t>
      </w:r>
    </w:p>
    <w:p w14:paraId="4622C308">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2.6</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剂量率范围：1μSv/h～10mSv/h</w:t>
      </w:r>
    </w:p>
    <w:p w14:paraId="72F48A96">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配置</w:t>
      </w:r>
      <w:r>
        <w:rPr>
          <w:rFonts w:hint="eastAsia" w:ascii="宋体" w:hAnsi="宋体" w:eastAsia="宋体" w:cs="宋体"/>
          <w:b/>
          <w:bCs/>
          <w:color w:val="auto"/>
          <w:sz w:val="21"/>
          <w:szCs w:val="21"/>
          <w:lang w:val="en-US" w:eastAsia="zh-CN"/>
        </w:rPr>
        <w:t>清单</w:t>
      </w:r>
      <w:r>
        <w:rPr>
          <w:rFonts w:hint="eastAsia" w:ascii="宋体" w:hAnsi="宋体" w:eastAsia="宋体" w:cs="宋体"/>
          <w:b/>
          <w:bCs/>
          <w:color w:val="auto"/>
          <w:sz w:val="21"/>
          <w:szCs w:val="21"/>
        </w:rPr>
        <w:t>：</w:t>
      </w:r>
      <w:r>
        <w:rPr>
          <w:rFonts w:hint="eastAsia" w:ascii="宋体" w:hAnsi="宋体" w:eastAsia="宋体" w:cs="宋体"/>
          <w:color w:val="auto"/>
          <w:sz w:val="21"/>
          <w:szCs w:val="21"/>
        </w:rPr>
        <w:t>主机标准套1套</w:t>
      </w:r>
    </w:p>
    <w:p w14:paraId="696A7510">
      <w:pPr>
        <w:pageBreakBefore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4.售后服务：</w:t>
      </w:r>
    </w:p>
    <w:p w14:paraId="189AC1C6">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（1）质保期为1年。保修期间，提供免费上门维修、更换非人为原因损坏零部件及技术咨询服务。</w:t>
      </w:r>
    </w:p>
    <w:p w14:paraId="30590539">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（2）在保修期结束后，保证10年内提供备件、配件供应。</w:t>
      </w:r>
    </w:p>
    <w:p w14:paraId="100B347D">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（3）保证产品为最新原厂设备。</w:t>
      </w:r>
    </w:p>
    <w:p w14:paraId="36E1E44E">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（4）仪器一旦出现问题4小时内做出响应，24小时到现场服务。</w:t>
      </w:r>
    </w:p>
    <w:p w14:paraId="16E94376">
      <w:pPr>
        <w:pageBreakBefore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（5）为用户提供仪器的基本原理、操作、日常维护及基础分析仪器理论课程，并为用户提供至少2人次免费操作技术培训。</w:t>
      </w:r>
    </w:p>
    <w:p w14:paraId="4D6BCF9B">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535E5F60">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（十四）高速冷冻离心机</w:t>
      </w:r>
    </w:p>
    <w:p w14:paraId="1C669141">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工作条件要求：</w:t>
      </w:r>
    </w:p>
    <w:p w14:paraId="135CB156">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1.1工作温度：＋10℃～＋30℃ </w:t>
      </w:r>
    </w:p>
    <w:p w14:paraId="7E40F288">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主要技术指标要求：</w:t>
      </w:r>
    </w:p>
    <w:p w14:paraId="422B00CB">
      <w:pPr>
        <w:pageBreakBefore w:val="0"/>
        <w:kinsoku/>
        <w:wordWrap/>
        <w:overflowPunct/>
        <w:topLinePunct w:val="0"/>
        <w:autoSpaceDE/>
        <w:autoSpaceDN/>
        <w:bidi w:val="0"/>
        <w:adjustRightInd/>
        <w:snapToGrid/>
        <w:spacing w:line="320" w:lineRule="exact"/>
        <w:ind w:right="0" w:rightChars="0" w:firstLine="210" w:firstLineChars="1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★2.1转速范围：100至15,000 rpm，</w:t>
      </w:r>
      <w:r>
        <w:rPr>
          <w:rFonts w:hint="eastAsia" w:ascii="宋体" w:hAnsi="宋体" w:eastAsia="宋体" w:cs="宋体"/>
          <w:color w:val="auto"/>
          <w:sz w:val="21"/>
          <w:szCs w:val="21"/>
          <w:lang w:val="en-US" w:eastAsia="zh-CN"/>
        </w:rPr>
        <w:t>转速</w:t>
      </w:r>
      <w:r>
        <w:rPr>
          <w:rFonts w:hint="eastAsia" w:ascii="宋体" w:hAnsi="宋体" w:eastAsia="宋体" w:cs="宋体"/>
          <w:color w:val="auto"/>
          <w:sz w:val="21"/>
          <w:szCs w:val="21"/>
        </w:rPr>
        <w:t>精度≤</w:t>
      </w:r>
      <w:r>
        <w:rPr>
          <w:rFonts w:hint="eastAsia" w:ascii="宋体" w:hAnsi="宋体" w:eastAsia="宋体" w:cs="宋体"/>
          <w:color w:val="auto"/>
          <w:sz w:val="21"/>
          <w:szCs w:val="21"/>
          <w:lang w:val="en-US" w:eastAsia="zh-CN"/>
        </w:rPr>
        <w:t>设定值的</w:t>
      </w: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w:t>
      </w:r>
    </w:p>
    <w:p w14:paraId="1C0805AB">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2.2最大容量(ml)：角转子6 x 250 /水平转子4×750ml</w:t>
      </w:r>
    </w:p>
    <w:p w14:paraId="3BF3C6E7">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2.3最大离心力(x g)：25,155</w:t>
      </w:r>
    </w:p>
    <w:p w14:paraId="6BAB8105">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2.4 时间控制范围：0-99h59 min / 连续运转 / 短时加速</w:t>
      </w:r>
    </w:p>
    <w:p w14:paraId="359637B3">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2.5 噪音(dBA)：&lt; 66dBA （最大转速时）</w:t>
      </w:r>
    </w:p>
    <w:p w14:paraId="405D7801">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2.6可预设线性加/减速曲线及二次方加/减速曲线，用户可自定义曲线（用户自行设计离心曲线）。</w:t>
      </w:r>
    </w:p>
    <w:p w14:paraId="455E13D7">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2.7具有存储程序，并支持用户自定义命名程序。</w:t>
      </w:r>
    </w:p>
    <w:p w14:paraId="2EBF8A18">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2.8 温控范围：-20 ～ 40 ℃，每个转头在最高转速下运转时，离心温度偏差≤4℃。</w:t>
      </w:r>
    </w:p>
    <w:p w14:paraId="1540B0B4">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2.9转头自动识别，无需人工设定，防止转头过速；</w:t>
      </w:r>
    </w:p>
    <w:p w14:paraId="7B69C990">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2.10具有中文操作语言，离心关键参数，如温度、运行时间、转速、离心力、升降速档等参数同屏显示，无需切换。</w:t>
      </w:r>
    </w:p>
    <w:p w14:paraId="3E4D4902">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2.11 具有快速制冷功能和静止预冻功能。</w:t>
      </w:r>
    </w:p>
    <w:p w14:paraId="6BB326B4">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2.12</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离心运转过程中离心腔的温度可控。</w:t>
      </w:r>
    </w:p>
    <w:p w14:paraId="559A540A">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2.13免维护电机;微控制器可预设离心力、速度、转头、时间和温度</w:t>
      </w:r>
      <w:r>
        <w:rPr>
          <w:rFonts w:hint="eastAsia" w:ascii="宋体" w:hAnsi="宋体" w:eastAsia="宋体" w:cs="宋体"/>
          <w:color w:val="auto"/>
          <w:sz w:val="21"/>
          <w:szCs w:val="21"/>
          <w:lang w:eastAsia="zh-CN"/>
        </w:rPr>
        <w:t>。</w:t>
      </w:r>
    </w:p>
    <w:p w14:paraId="4219B327">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2.14 具有定速计时功能，实现精确离心。</w:t>
      </w:r>
    </w:p>
    <w:p w14:paraId="0006EC5B">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2.15 可适配100 x1.5/2.0mL角转子（转速≥9500rpm），用于高通量样品的快速检测。</w:t>
      </w:r>
    </w:p>
    <w:p w14:paraId="007368B5">
      <w:pPr>
        <w:keepNext w:val="0"/>
        <w:keepLines w:val="0"/>
        <w:pageBreakBefore w:val="0"/>
        <w:widowControl w:val="0"/>
        <w:kinsoku/>
        <w:wordWrap/>
        <w:overflowPunct/>
        <w:topLinePunct w:val="0"/>
        <w:autoSpaceDE/>
        <w:autoSpaceDN/>
        <w:bidi w:val="0"/>
        <w:adjustRightInd/>
        <w:snapToGrid/>
        <w:spacing w:line="320" w:lineRule="exact"/>
        <w:ind w:leftChars="0"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基本配置要求：</w:t>
      </w:r>
    </w:p>
    <w:p w14:paraId="47A23898">
      <w:pPr>
        <w:keepNext w:val="0"/>
        <w:keepLines w:val="0"/>
        <w:pageBreakBefore w:val="0"/>
        <w:widowControl w:val="0"/>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3.1高速冷冻离心机主机1台</w:t>
      </w:r>
    </w:p>
    <w:p w14:paraId="206CA2A3">
      <w:pPr>
        <w:keepNext w:val="0"/>
        <w:keepLines w:val="0"/>
        <w:pageBreakBefore w:val="0"/>
        <w:widowControl w:val="0"/>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3.2 6x250mL角转子1个（转速控制范围100～9000rpm）</w:t>
      </w:r>
    </w:p>
    <w:p w14:paraId="45B4FB2E">
      <w:pPr>
        <w:keepNext w:val="0"/>
        <w:keepLines w:val="0"/>
        <w:pageBreakBefore w:val="0"/>
        <w:widowControl w:val="0"/>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3.3 8x50mL尖底离心管角转子1个（转速控制范围100～13500rpm）</w:t>
      </w:r>
    </w:p>
    <w:p w14:paraId="418E828E">
      <w:pPr>
        <w:keepNext w:val="0"/>
        <w:keepLines w:val="0"/>
        <w:pageBreakBefore w:val="0"/>
        <w:widowControl w:val="0"/>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3.4 15mL尖底离心管适配器1套</w:t>
      </w:r>
    </w:p>
    <w:p w14:paraId="2C967F4B">
      <w:pPr>
        <w:keepNext w:val="0"/>
        <w:keepLines w:val="0"/>
        <w:pageBreakBefore w:val="0"/>
        <w:widowControl w:val="0"/>
        <w:tabs>
          <w:tab w:val="left" w:pos="220"/>
        </w:tabs>
        <w:kinsoku/>
        <w:wordWrap/>
        <w:overflowPunct/>
        <w:topLinePunct w:val="0"/>
        <w:autoSpaceDE/>
        <w:autoSpaceDN/>
        <w:bidi w:val="0"/>
        <w:adjustRightInd w:val="0"/>
        <w:snapToGrid w:val="0"/>
        <w:spacing w:line="320" w:lineRule="exact"/>
        <w:ind w:leftChars="0" w:firstLine="422" w:firstLineChars="200"/>
        <w:jc w:val="left"/>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4.</w:t>
      </w:r>
      <w:r>
        <w:rPr>
          <w:rFonts w:hint="eastAsia" w:ascii="宋体" w:hAnsi="宋体" w:eastAsia="宋体" w:cs="宋体"/>
          <w:b/>
          <w:color w:val="auto"/>
          <w:sz w:val="21"/>
          <w:szCs w:val="21"/>
        </w:rPr>
        <w:t>售后及技术支持</w:t>
      </w:r>
    </w:p>
    <w:p w14:paraId="66DDE264">
      <w:pPr>
        <w:keepNext w:val="0"/>
        <w:keepLines w:val="0"/>
        <w:pageBreakBefore w:val="0"/>
        <w:widowControl w:val="0"/>
        <w:numPr>
          <w:ilvl w:val="0"/>
          <w:numId w:val="0"/>
        </w:numPr>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技术人员到现场免费进行安装调试整个系统，确保仪器技术指标验收合格，并在用户实验室现场培训基本操作技术。</w:t>
      </w:r>
    </w:p>
    <w:p w14:paraId="7EFD97F2">
      <w:pPr>
        <w:keepNext w:val="0"/>
        <w:keepLines w:val="0"/>
        <w:pageBreakBefore w:val="0"/>
        <w:widowControl w:val="0"/>
        <w:numPr>
          <w:ilvl w:val="0"/>
          <w:numId w:val="0"/>
        </w:numPr>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（2）</w:t>
      </w:r>
      <w:r>
        <w:rPr>
          <w:rFonts w:hint="eastAsia" w:ascii="宋体" w:hAnsi="宋体" w:eastAsia="宋体" w:cs="宋体"/>
          <w:color w:val="auto"/>
          <w:kern w:val="0"/>
          <w:sz w:val="21"/>
          <w:szCs w:val="21"/>
          <w:lang w:val="de-DE"/>
        </w:rPr>
        <w:t>仪器安装调试合格后提供保修期一年，仪器保修期应从填写验收合格书后第二天算起，制造厂方终生提供维修服务和技术支持。</w:t>
      </w:r>
    </w:p>
    <w:p w14:paraId="0C80D23C">
      <w:pPr>
        <w:keepNext w:val="0"/>
        <w:keepLines w:val="0"/>
        <w:pageBreakBefore w:val="0"/>
        <w:widowControl w:val="0"/>
        <w:numPr>
          <w:ilvl w:val="0"/>
          <w:numId w:val="0"/>
        </w:numPr>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公司为用户提供至少2人次免费操作技术培训。</w:t>
      </w:r>
    </w:p>
    <w:p w14:paraId="4A4E3142">
      <w:pPr>
        <w:keepNext w:val="0"/>
        <w:keepLines w:val="0"/>
        <w:pageBreakBefore w:val="0"/>
        <w:widowControl w:val="0"/>
        <w:numPr>
          <w:ilvl w:val="0"/>
          <w:numId w:val="0"/>
        </w:numPr>
        <w:kinsoku/>
        <w:wordWrap/>
        <w:overflowPunct/>
        <w:topLinePunct w:val="0"/>
        <w:autoSpaceDE/>
        <w:autoSpaceDN/>
        <w:bidi w:val="0"/>
        <w:spacing w:line="320" w:lineRule="exact"/>
        <w:ind w:leftChars="0"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kern w:val="0"/>
          <w:sz w:val="21"/>
          <w:szCs w:val="21"/>
          <w:lang w:val="de-DE"/>
        </w:rPr>
        <w:t>在接到用户维修请求后，应能在2小时内做出快速响应，并在2个工作日内到达现场。</w:t>
      </w:r>
    </w:p>
    <w:p w14:paraId="6A9905C2">
      <w:pPr>
        <w:pStyle w:val="4"/>
        <w:pageBreakBefore w:val="0"/>
        <w:numPr>
          <w:ilvl w:val="0"/>
          <w:numId w:val="0"/>
        </w:numPr>
        <w:kinsoku/>
        <w:wordWrap/>
        <w:overflowPunct/>
        <w:topLinePunct w:val="0"/>
        <w:autoSpaceDE/>
        <w:autoSpaceDN/>
        <w:bidi w:val="0"/>
        <w:adjustRightInd/>
        <w:snapToGrid/>
        <w:spacing w:beforeLines="0" w:line="320" w:lineRule="exact"/>
        <w:ind w:left="0" w:leftChars="0" w:right="0" w:rightChars="0"/>
        <w:jc w:val="both"/>
        <w:textAlignment w:val="auto"/>
        <w:rPr>
          <w:rFonts w:hint="eastAsia" w:ascii="宋体" w:hAnsi="宋体" w:eastAsia="宋体" w:cs="宋体"/>
          <w:color w:val="auto"/>
          <w:sz w:val="21"/>
          <w:szCs w:val="21"/>
          <w:lang w:val="en-US" w:eastAsia="zh-CN"/>
        </w:rPr>
      </w:pPr>
    </w:p>
    <w:p w14:paraId="138E345E">
      <w:pPr>
        <w:pStyle w:val="4"/>
        <w:pageBreakBefore w:val="0"/>
        <w:numPr>
          <w:ilvl w:val="0"/>
          <w:numId w:val="0"/>
        </w:numPr>
        <w:kinsoku/>
        <w:wordWrap/>
        <w:overflowPunct/>
        <w:topLinePunct w:val="0"/>
        <w:autoSpaceDE/>
        <w:autoSpaceDN/>
        <w:bidi w:val="0"/>
        <w:adjustRightInd/>
        <w:snapToGrid/>
        <w:spacing w:beforeLines="0" w:line="320" w:lineRule="exact"/>
        <w:ind w:left="0" w:leftChars="0" w:right="0" w:rightChars="0"/>
        <w:jc w:val="both"/>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（十五）氮磷检测器</w:t>
      </w:r>
    </w:p>
    <w:p w14:paraId="061E3674">
      <w:pPr>
        <w:pageBreakBefore w:val="0"/>
        <w:kinsoku/>
        <w:wordWrap/>
        <w:overflowPunct/>
        <w:topLinePunct w:val="0"/>
        <w:autoSpaceDE/>
        <w:autoSpaceDN/>
        <w:bidi w:val="0"/>
        <w:adjustRightInd/>
        <w:snapToGrid/>
        <w:spacing w:line="320" w:lineRule="exact"/>
        <w:ind w:left="0" w:leftChars="0"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技术参数要求：</w:t>
      </w:r>
    </w:p>
    <w:p w14:paraId="42FBB08A">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1.1配备铷珠</w:t>
      </w:r>
    </w:p>
    <w:p w14:paraId="005267B4">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1.2 MDL：&lt; 0.08 pg N/s，采用偶氮苯/马拉硫磷/十八烷混合物时 &lt; 0.01 pg P/s</w:t>
      </w:r>
    </w:p>
    <w:p w14:paraId="3397D4C6">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1.3动态范围：&gt; 105 N，采用偶氮苯/马拉硫磷混合物时 &gt; 105 P</w:t>
      </w:r>
    </w:p>
    <w:p w14:paraId="4996FFE5">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1.4选择性： 25000–1 g N/g C，采用偶氮苯/马拉硫磷/十八烷混合物时200000–1 g P/g C</w:t>
      </w:r>
    </w:p>
    <w:p w14:paraId="49CBC2E3">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1.5数据采集速率：最高 1000 Hz</w:t>
      </w:r>
    </w:p>
    <w:p w14:paraId="3351B93F">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1.6用于三种气体的流速范围：</w:t>
      </w:r>
    </w:p>
    <w:p w14:paraId="2B862F64">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1.6.1空气：0–200 mL/min</w:t>
      </w:r>
    </w:p>
    <w:p w14:paraId="0FB59B5E">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1.6.1 H2：0–30 mL/min</w:t>
      </w:r>
    </w:p>
    <w:p w14:paraId="75471B8A">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1.6.1尾吹气：0–100 mL/min</w:t>
      </w:r>
    </w:p>
    <w:p w14:paraId="57F5EF8F">
      <w:pPr>
        <w:pageBreakBefore w:val="0"/>
        <w:numPr>
          <w:ilvl w:val="0"/>
          <w:numId w:val="0"/>
        </w:numPr>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1.7最高操作温度 400 °C</w:t>
      </w:r>
    </w:p>
    <w:p w14:paraId="347BC685">
      <w:pPr>
        <w:pageBreakBefore w:val="0"/>
        <w:numPr>
          <w:ilvl w:val="0"/>
          <w:numId w:val="0"/>
        </w:numPr>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配置要求：</w:t>
      </w:r>
      <w:r>
        <w:rPr>
          <w:rFonts w:hint="eastAsia" w:ascii="宋体" w:hAnsi="宋体" w:eastAsia="宋体" w:cs="宋体"/>
          <w:color w:val="auto"/>
          <w:sz w:val="21"/>
          <w:szCs w:val="21"/>
        </w:rPr>
        <w:t>主机标准套</w:t>
      </w:r>
    </w:p>
    <w:p w14:paraId="03B6FE8B">
      <w:pPr>
        <w:pageBreakBefore w:val="0"/>
        <w:numPr>
          <w:ilvl w:val="0"/>
          <w:numId w:val="0"/>
        </w:numPr>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售后及技术支持</w:t>
      </w:r>
    </w:p>
    <w:p w14:paraId="19CF4530">
      <w:pPr>
        <w:pageBreakBefore w:val="0"/>
        <w:numPr>
          <w:ilvl w:val="0"/>
          <w:numId w:val="0"/>
        </w:numPr>
        <w:kinsoku/>
        <w:wordWrap/>
        <w:overflowPunct/>
        <w:topLinePunct w:val="0"/>
        <w:autoSpaceDE/>
        <w:autoSpaceDN/>
        <w:bidi w:val="0"/>
        <w:adjustRightInd/>
        <w:snapToGrid/>
        <w:spacing w:line="320" w:lineRule="exact"/>
        <w:ind w:left="0" w:leftChars="0"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技术人员到现场免费进行安装调试整个系统，确保仪器技术指标验收合格，并在用户实验室现场培训基本操作技术。</w:t>
      </w:r>
    </w:p>
    <w:p w14:paraId="636FDD14">
      <w:pPr>
        <w:pageBreakBefore w:val="0"/>
        <w:numPr>
          <w:ilvl w:val="0"/>
          <w:numId w:val="0"/>
        </w:numPr>
        <w:kinsoku/>
        <w:wordWrap/>
        <w:overflowPunct/>
        <w:topLinePunct w:val="0"/>
        <w:autoSpaceDE/>
        <w:autoSpaceDN/>
        <w:bidi w:val="0"/>
        <w:adjustRightInd/>
        <w:snapToGrid/>
        <w:spacing w:line="320" w:lineRule="exact"/>
        <w:ind w:left="0" w:leftChars="0"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（2）</w:t>
      </w:r>
      <w:r>
        <w:rPr>
          <w:rFonts w:hint="eastAsia" w:ascii="宋体" w:hAnsi="宋体" w:eastAsia="宋体" w:cs="宋体"/>
          <w:color w:val="auto"/>
          <w:kern w:val="0"/>
          <w:sz w:val="21"/>
          <w:szCs w:val="21"/>
          <w:lang w:val="de-DE"/>
        </w:rPr>
        <w:t>仪器安装调试合格后提供保修期一年，仪器保修期应从填写验收合格书后第二天算起，制造厂方终生提供维修服务和技术支持。</w:t>
      </w:r>
    </w:p>
    <w:p w14:paraId="2F5C94E6">
      <w:pPr>
        <w:pageBreakBefore w:val="0"/>
        <w:numPr>
          <w:ilvl w:val="0"/>
          <w:numId w:val="0"/>
        </w:numPr>
        <w:kinsoku/>
        <w:wordWrap/>
        <w:overflowPunct/>
        <w:topLinePunct w:val="0"/>
        <w:autoSpaceDE/>
        <w:autoSpaceDN/>
        <w:bidi w:val="0"/>
        <w:adjustRightInd/>
        <w:snapToGrid/>
        <w:spacing w:line="320" w:lineRule="exact"/>
        <w:ind w:left="0" w:leftChars="0"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公司为用户提供至少2人次免费操作技术培训。</w:t>
      </w:r>
    </w:p>
    <w:p w14:paraId="6AAFAA2E">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right="0" w:rightChars="0" w:firstLine="420" w:firstLineChars="200"/>
        <w:textAlignment w:val="auto"/>
        <w:rPr>
          <w:rFonts w:ascii="宋体" w:hAnsi="宋体" w:eastAsia="宋体" w:cs="宋体"/>
          <w:b/>
          <w:bCs/>
          <w:color w:val="auto"/>
          <w:sz w:val="24"/>
        </w:rPr>
      </w:pPr>
      <w:r>
        <w:rPr>
          <w:rFonts w:hint="eastAsia" w:ascii="宋体" w:hAnsi="宋体" w:eastAsia="宋体" w:cs="宋体"/>
          <w:color w:val="auto"/>
          <w:sz w:val="21"/>
          <w:szCs w:val="21"/>
          <w:lang w:val="en-US" w:eastAsia="zh-CN"/>
        </w:rPr>
        <w:t>（4）</w:t>
      </w:r>
      <w:r>
        <w:rPr>
          <w:rFonts w:hint="eastAsia" w:ascii="宋体" w:hAnsi="宋体" w:eastAsia="宋体" w:cs="宋体"/>
          <w:color w:val="auto"/>
          <w:kern w:val="0"/>
          <w:sz w:val="21"/>
          <w:szCs w:val="21"/>
          <w:lang w:val="de-DE"/>
        </w:rPr>
        <w:t>在接到用户维修请求后，应能在2小时内做出快速响应，并在2个工作日内到达现场。</w:t>
      </w:r>
    </w:p>
    <w:p w14:paraId="1B3AA695">
      <w:pPr>
        <w:pStyle w:val="4"/>
        <w:pageBreakBefore w:val="0"/>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08D09D16">
      <w:pPr>
        <w:pStyle w:val="4"/>
        <w:pageBreakBefore w:val="0"/>
        <w:numPr>
          <w:ilvl w:val="0"/>
          <w:numId w:val="0"/>
        </w:numPr>
        <w:kinsoku/>
        <w:wordWrap/>
        <w:overflowPunct/>
        <w:topLinePunct w:val="0"/>
        <w:autoSpaceDE/>
        <w:autoSpaceDN/>
        <w:bidi w:val="0"/>
        <w:adjustRightInd/>
        <w:snapToGrid/>
        <w:spacing w:beforeLines="0" w:line="320" w:lineRule="exact"/>
        <w:ind w:left="0" w:leftChars="0"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（十六）烷基汞蒸馏仪</w:t>
      </w:r>
    </w:p>
    <w:p w14:paraId="43C77F07">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加热模块要求：</w:t>
      </w:r>
    </w:p>
    <w:p w14:paraId="0B5F3DDE">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1.1金属块加热，控温范围常温-150℃，PID控制，精度为±1℃。</w:t>
      </w:r>
    </w:p>
    <w:p w14:paraId="388EB240">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1.2金属块上不少于10个蒸馏瓶加热位。</w:t>
      </w:r>
    </w:p>
    <w:p w14:paraId="68F367D9">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1.3过热自动断电。</w:t>
      </w:r>
    </w:p>
    <w:p w14:paraId="697F7431">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冷凝接收部件要求：</w:t>
      </w:r>
    </w:p>
    <w:p w14:paraId="04343BA9">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2.1冰浴制冷，控温范围常温-0℃，精度为±1℃。</w:t>
      </w:r>
    </w:p>
    <w:p w14:paraId="2436A10D">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2.2接收瓶位≥10个。</w:t>
      </w:r>
    </w:p>
    <w:p w14:paraId="0C5C5CEC">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蒸馏瓶、接收瓶和连接管线要求：</w:t>
      </w:r>
    </w:p>
    <w:p w14:paraId="10E51B77">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3.1蒸馏瓶、接收瓶和连接管线均为聚四氟乙烯材质，对超痕量烷基汞无吸附。</w:t>
      </w:r>
    </w:p>
    <w:p w14:paraId="6D31AD38">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3.2蒸馏瓶和接收瓶体积均为60ml，接收瓶有体积刻度。</w:t>
      </w:r>
    </w:p>
    <w:p w14:paraId="326940F2">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3.3连接管线连接蒸馏瓶和接收瓶，确保蒸馏瓶密封。</w:t>
      </w:r>
    </w:p>
    <w:p w14:paraId="038DBE7E">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4</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配置要求：</w:t>
      </w:r>
      <w:r>
        <w:rPr>
          <w:rFonts w:hint="eastAsia" w:ascii="宋体" w:hAnsi="宋体" w:eastAsia="宋体" w:cs="宋体"/>
          <w:color w:val="auto"/>
          <w:sz w:val="21"/>
          <w:szCs w:val="21"/>
        </w:rPr>
        <w:t>主机标准套</w:t>
      </w:r>
    </w:p>
    <w:p w14:paraId="213B033A">
      <w:pPr>
        <w:pageBreakBefore w:val="0"/>
        <w:kinsoku/>
        <w:wordWrap/>
        <w:overflowPunct/>
        <w:topLinePunct w:val="0"/>
        <w:autoSpaceDE/>
        <w:autoSpaceDN/>
        <w:bidi w:val="0"/>
        <w:adjustRightInd/>
        <w:snapToGrid/>
        <w:spacing w:line="320" w:lineRule="exact"/>
        <w:ind w:right="0" w:rightChars="0" w:firstLine="422" w:firstLineChars="200"/>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5.</w:t>
      </w:r>
      <w:r>
        <w:rPr>
          <w:rFonts w:hint="eastAsia" w:ascii="宋体" w:hAnsi="宋体" w:eastAsia="宋体" w:cs="宋体"/>
          <w:b/>
          <w:bCs/>
          <w:color w:val="auto"/>
          <w:sz w:val="21"/>
          <w:szCs w:val="21"/>
        </w:rPr>
        <w:t>售后及技术支持</w:t>
      </w:r>
    </w:p>
    <w:p w14:paraId="1D61673A">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（1）技术人员到现场免费进行安装调试整个系统，确保仪器技术指标验收合格，并在用户实验室现场培训基本操作技术。</w:t>
      </w:r>
    </w:p>
    <w:p w14:paraId="73B56D8E">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（2）仪器安装调试合格后提供保修期一年，仪器保修期应从填写验收合格书后第二天算起，制造厂方终生提供维修服务和技术支持。</w:t>
      </w:r>
    </w:p>
    <w:p w14:paraId="040AD1DA">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（3）公司为用户提供至少2人次免费操作技术培训。</w:t>
      </w:r>
    </w:p>
    <w:p w14:paraId="305532BA">
      <w:pPr>
        <w:pageBreakBefore w:val="0"/>
        <w:kinsoku/>
        <w:wordWrap/>
        <w:overflowPunct/>
        <w:topLinePunct w:val="0"/>
        <w:autoSpaceDE/>
        <w:autoSpaceDN/>
        <w:bidi w:val="0"/>
        <w:adjustRightInd/>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（4）在接到用户维修请求后，应能在2小时内做出快速响应，并在2个工作日内到达现场</w:t>
      </w:r>
      <w:r>
        <w:rPr>
          <w:rFonts w:hint="eastAsia" w:ascii="宋体" w:hAnsi="宋体" w:eastAsia="宋体" w:cs="宋体"/>
          <w:color w:val="auto"/>
          <w:sz w:val="21"/>
          <w:szCs w:val="21"/>
          <w:lang w:val="de-DE"/>
        </w:rPr>
        <w:t>。</w:t>
      </w:r>
    </w:p>
    <w:p w14:paraId="6291B54C">
      <w:pPr>
        <w:pageBreakBefore w:val="0"/>
        <w:kinsoku/>
        <w:wordWrap/>
        <w:overflowPunct/>
        <w:topLinePunct w:val="0"/>
        <w:bidi w:val="0"/>
        <w:spacing w:line="320" w:lineRule="exact"/>
        <w:ind w:firstLine="480"/>
        <w:rPr>
          <w:rFonts w:hint="eastAsia" w:ascii="宋体" w:hAnsi="宋体" w:eastAsia="宋体" w:cs="宋体"/>
          <w:color w:val="auto"/>
          <w:sz w:val="24"/>
        </w:rPr>
      </w:pPr>
    </w:p>
    <w:p w14:paraId="053F6CAE">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（十七）水质监测采样无人船</w:t>
      </w:r>
    </w:p>
    <w:p w14:paraId="43DCE984">
      <w:pPr>
        <w:pStyle w:val="114"/>
        <w:pageBreakBefore w:val="0"/>
        <w:numPr>
          <w:ilvl w:val="0"/>
          <w:numId w:val="0"/>
        </w:numPr>
        <w:tabs>
          <w:tab w:val="left" w:pos="567"/>
        </w:tabs>
        <w:kinsoku/>
        <w:wordWrap/>
        <w:overflowPunct/>
        <w:topLinePunct w:val="0"/>
        <w:bidi w:val="0"/>
        <w:spacing w:line="320" w:lineRule="exact"/>
        <w:jc w:val="both"/>
        <w:rPr>
          <w:rFonts w:hint="eastAsia" w:ascii="宋体" w:hAnsi="宋体" w:eastAsia="宋体" w:cs="宋体"/>
          <w:b w:val="0"/>
          <w:bCs w:val="0"/>
          <w:color w:val="auto"/>
          <w:sz w:val="21"/>
          <w:szCs w:val="21"/>
          <w:lang w:val="en-US" w:eastAsia="zh-CN"/>
        </w:rPr>
      </w:pPr>
      <w:r>
        <w:rPr>
          <w:rFonts w:hint="eastAsia" w:ascii="宋体" w:hAnsi="宋体" w:eastAsia="宋体" w:cs="宋体"/>
          <w:b/>
          <w:bCs/>
          <w:color w:val="auto"/>
          <w:sz w:val="21"/>
          <w:szCs w:val="21"/>
          <w:lang w:val="en-US" w:eastAsia="zh-CN"/>
        </w:rPr>
        <w:t xml:space="preserve">    采购需求：</w:t>
      </w:r>
      <w:r>
        <w:rPr>
          <w:rFonts w:hint="eastAsia" w:ascii="宋体" w:hAnsi="宋体" w:eastAsia="宋体" w:cs="宋体"/>
          <w:b w:val="0"/>
          <w:bCs w:val="0"/>
          <w:color w:val="auto"/>
          <w:sz w:val="21"/>
          <w:szCs w:val="21"/>
          <w:lang w:val="en-US" w:eastAsia="zh-CN"/>
        </w:rPr>
        <w:t>为满足本地区河道、湖库等水域水质监测需求，开展水域生态调查、污染物追踪与溯源及突发环境事件应急监测，提升本单位应对突发环境事件应急监测能力，采购水质监测采样无人船。因舟山市地处海岛，河道普遍较短较窄，为适应本地实际情况，船体长度、转弯半径不宜过大。</w:t>
      </w:r>
    </w:p>
    <w:p w14:paraId="28E47DF6">
      <w:pPr>
        <w:pStyle w:val="114"/>
        <w:pageBreakBefore w:val="0"/>
        <w:numPr>
          <w:ilvl w:val="0"/>
          <w:numId w:val="0"/>
        </w:numPr>
        <w:tabs>
          <w:tab w:val="left" w:pos="567"/>
        </w:tabs>
        <w:kinsoku/>
        <w:wordWrap/>
        <w:overflowPunct/>
        <w:topLinePunct w:val="0"/>
        <w:bidi w:val="0"/>
        <w:spacing w:line="320" w:lineRule="exact"/>
        <w:ind w:firstLine="420" w:firstLineChars="200"/>
        <w:jc w:val="both"/>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产品配置清单 </w:t>
      </w:r>
    </w:p>
    <w:tbl>
      <w:tblPr>
        <w:tblStyle w:val="61"/>
        <w:tblW w:w="82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6"/>
        <w:gridCol w:w="2258"/>
        <w:gridCol w:w="851"/>
        <w:gridCol w:w="812"/>
        <w:gridCol w:w="3689"/>
      </w:tblGrid>
      <w:tr w14:paraId="164B2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21BB9C09">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序号</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722E3473">
            <w:pPr>
              <w:keepNext w:val="0"/>
              <w:keepLines w:val="0"/>
              <w:pageBreakBefore w:val="0"/>
              <w:widowControl/>
              <w:suppressLineNumbers w:val="0"/>
              <w:kinsoku/>
              <w:wordWrap/>
              <w:overflowPunct/>
              <w:topLinePunct w:val="0"/>
              <w:bidi w:val="0"/>
              <w:spacing w:line="32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名称</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0AFA289">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数量</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7AD7A2E1">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单位</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5FFD8EE0">
            <w:pPr>
              <w:keepNext w:val="0"/>
              <w:keepLines w:val="0"/>
              <w:pageBreakBefore w:val="0"/>
              <w:widowControl/>
              <w:suppressLineNumbers w:val="0"/>
              <w:kinsoku/>
              <w:wordWrap/>
              <w:overflowPunct/>
              <w:topLinePunct w:val="0"/>
              <w:bidi w:val="0"/>
              <w:spacing w:line="32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说 明</w:t>
            </w:r>
          </w:p>
        </w:tc>
      </w:tr>
      <w:tr w14:paraId="24552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564AF6CB">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3110870D">
            <w:pPr>
              <w:keepNext w:val="0"/>
              <w:keepLines w:val="0"/>
              <w:pageBreakBefore w:val="0"/>
              <w:widowControl/>
              <w:suppressLineNumbers w:val="0"/>
              <w:kinsoku/>
              <w:wordWrap/>
              <w:overflowPunct/>
              <w:topLinePunct w:val="0"/>
              <w:bidi w:val="0"/>
              <w:spacing w:line="32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无人船船体</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1E95D102">
            <w:pPr>
              <w:keepNext w:val="0"/>
              <w:keepLines w:val="0"/>
              <w:pageBreakBefore w:val="0"/>
              <w:widowControl/>
              <w:suppressLineNumbers w:val="0"/>
              <w:kinsoku/>
              <w:wordWrap/>
              <w:overflowPunct/>
              <w:topLinePunct w:val="0"/>
              <w:bidi w:val="0"/>
              <w:spacing w:line="320" w:lineRule="exact"/>
              <w:ind w:left="0" w:leftChars="0" w:firstLine="210" w:firstLineChars="10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64F114E5">
            <w:pPr>
              <w:keepNext w:val="0"/>
              <w:keepLines w:val="0"/>
              <w:pageBreakBefore w:val="0"/>
              <w:widowControl/>
              <w:suppressLineNumbers w:val="0"/>
              <w:kinsoku/>
              <w:wordWrap/>
              <w:overflowPunct/>
              <w:topLinePunct w:val="0"/>
              <w:bidi w:val="0"/>
              <w:spacing w:line="320" w:lineRule="exact"/>
              <w:ind w:left="0" w:leftChars="0" w:firstLine="210" w:firstLineChars="10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艘</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1CBE02B5">
            <w:pPr>
              <w:keepNext w:val="0"/>
              <w:keepLines w:val="0"/>
              <w:pageBreakBefore w:val="0"/>
              <w:widowControl/>
              <w:suppressLineNumbers w:val="0"/>
              <w:kinsoku/>
              <w:wordWrap/>
              <w:overflowPunct/>
              <w:topLinePunct w:val="0"/>
              <w:bidi w:val="0"/>
              <w:spacing w:line="320" w:lineRule="exact"/>
              <w:jc w:val="center"/>
              <w:textAlignment w:val="center"/>
              <w:rPr>
                <w:rFonts w:hint="eastAsia" w:ascii="宋体" w:hAnsi="宋体" w:eastAsia="宋体" w:cs="宋体"/>
                <w:i w:val="0"/>
                <w:iCs w:val="0"/>
                <w:color w:val="auto"/>
                <w:sz w:val="21"/>
                <w:szCs w:val="21"/>
                <w:u w:val="none"/>
              </w:rPr>
            </w:pPr>
          </w:p>
        </w:tc>
      </w:tr>
      <w:tr w14:paraId="7292A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2A51B6DE">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5B8487C5">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供电系统</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0026738D">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44839EEA">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7D5269EE">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供电管理控制模块</w:t>
            </w:r>
          </w:p>
        </w:tc>
      </w:tr>
      <w:tr w14:paraId="4A338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7D542D14">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3655470F">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无人船智能控制器</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1AB6A561">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415E8A76">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55B7A7E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带自主导航、一键返航等功能的船控</w:t>
            </w:r>
          </w:p>
        </w:tc>
      </w:tr>
      <w:tr w14:paraId="65675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7169D0E4">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235A9950">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手持智能遥控器</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C9C83AA">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0D02DA08">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091B01C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含遥控器充电器1台，带屏显功能</w:t>
            </w:r>
          </w:p>
        </w:tc>
      </w:tr>
      <w:tr w14:paraId="057AA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31C99B2B">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3BD22BAF">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地面基站</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A936AF1">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21A90B4E">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44A6EA5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无人船数据终端和控制软件</w:t>
            </w:r>
          </w:p>
        </w:tc>
      </w:tr>
      <w:tr w14:paraId="54087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54E8BD07">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6EB8F249">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大电流充电器</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31D5698">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4FD1ADE4">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1AA7DB6F">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tc>
      </w:tr>
      <w:tr w14:paraId="69029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3D762087">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567E12AE">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户外电源</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041799C2">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6FB9FF9F">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1A92A64C">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tc>
      </w:tr>
      <w:tr w14:paraId="24D84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4B6DCDE5">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w:t>
            </w:r>
          </w:p>
        </w:tc>
        <w:tc>
          <w:tcPr>
            <w:tcW w:w="2258" w:type="dxa"/>
            <w:tcBorders>
              <w:top w:val="single" w:color="000000" w:sz="4" w:space="0"/>
              <w:left w:val="single" w:color="000000" w:sz="4" w:space="0"/>
              <w:bottom w:val="single" w:color="000000" w:sz="4" w:space="0"/>
              <w:right w:val="single" w:color="000000" w:sz="4" w:space="0"/>
            </w:tcBorders>
            <w:noWrap w:val="0"/>
            <w:vAlign w:val="center"/>
          </w:tcPr>
          <w:p w14:paraId="01A08511">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培训及售后服务等</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7D8F3C6">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501C2A74">
            <w:pPr>
              <w:keepNext w:val="0"/>
              <w:keepLines w:val="0"/>
              <w:pageBreakBefore w:val="0"/>
              <w:widowControl/>
              <w:suppressLineNumbers w:val="0"/>
              <w:kinsoku/>
              <w:wordWrap/>
              <w:overflowPunct/>
              <w:topLinePunct w:val="0"/>
              <w:bidi w:val="0"/>
              <w:spacing w:line="320" w:lineRule="exact"/>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套</w:t>
            </w:r>
          </w:p>
        </w:tc>
        <w:tc>
          <w:tcPr>
            <w:tcW w:w="3689" w:type="dxa"/>
            <w:tcBorders>
              <w:top w:val="single" w:color="000000" w:sz="4" w:space="0"/>
              <w:left w:val="single" w:color="000000" w:sz="4" w:space="0"/>
              <w:bottom w:val="single" w:color="000000" w:sz="4" w:space="0"/>
              <w:right w:val="single" w:color="000000" w:sz="4" w:space="0"/>
            </w:tcBorders>
            <w:noWrap/>
            <w:vAlign w:val="center"/>
          </w:tcPr>
          <w:p w14:paraId="182AD4E2">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tc>
      </w:tr>
    </w:tbl>
    <w:p w14:paraId="59B69B3D">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p w14:paraId="20182310">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1.1</w:t>
      </w:r>
      <w:r>
        <w:rPr>
          <w:rFonts w:hint="eastAsia" w:ascii="宋体" w:hAnsi="宋体" w:eastAsia="宋体" w:cs="宋体"/>
          <w:b/>
          <w:bCs/>
          <w:color w:val="auto"/>
          <w:sz w:val="21"/>
          <w:szCs w:val="21"/>
        </w:rPr>
        <w:t>船体参数</w:t>
      </w:r>
    </w:p>
    <w:p w14:paraId="26F947E4">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b/>
          <w:color w:val="auto"/>
          <w:sz w:val="21"/>
          <w:szCs w:val="21"/>
        </w:rPr>
        <w:t>▲</w:t>
      </w:r>
      <w:r>
        <w:rPr>
          <w:rFonts w:hint="eastAsia" w:ascii="宋体" w:hAnsi="宋体" w:eastAsia="宋体" w:cs="宋体"/>
          <w:color w:val="auto"/>
          <w:sz w:val="21"/>
          <w:szCs w:val="21"/>
        </w:rPr>
        <w:t>船体尺寸：尺寸：0.9-1.</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m（长）× 0.4-0.7m（宽）×0.3-0.</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m（高）；</w:t>
      </w:r>
    </w:p>
    <w:p w14:paraId="2EFF1E80">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船体重量：空载≤20kg；</w:t>
      </w:r>
    </w:p>
    <w:p w14:paraId="251F795D">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最大负载能力</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kg；</w:t>
      </w:r>
    </w:p>
    <w:p w14:paraId="06063F74">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船体材质：具备防腐、耐磨、防撞损等性能</w:t>
      </w:r>
      <w:r>
        <w:rPr>
          <w:rFonts w:hint="eastAsia" w:ascii="宋体" w:hAnsi="宋体" w:eastAsia="宋体" w:cs="宋体"/>
          <w:color w:val="auto"/>
          <w:sz w:val="21"/>
          <w:szCs w:val="21"/>
          <w:lang w:eastAsia="zh-CN"/>
        </w:rPr>
        <w:t>；</w:t>
      </w:r>
    </w:p>
    <w:p w14:paraId="4301AD50">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船体转弯半径：</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1m。</w:t>
      </w:r>
    </w:p>
    <w:p w14:paraId="7266E56A">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1.2</w:t>
      </w:r>
      <w:r>
        <w:rPr>
          <w:rFonts w:hint="eastAsia" w:ascii="宋体" w:hAnsi="宋体" w:eastAsia="宋体" w:cs="宋体"/>
          <w:b/>
          <w:bCs/>
          <w:color w:val="auto"/>
          <w:sz w:val="21"/>
          <w:szCs w:val="21"/>
        </w:rPr>
        <w:t>动力参数</w:t>
      </w:r>
    </w:p>
    <w:p w14:paraId="2A2B8E32">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动力参数：可于浅水中投放，具有防水草缠绕设计；</w:t>
      </w:r>
    </w:p>
    <w:p w14:paraId="67E5EF27">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续航时间：应≥4小时（航速1m/s条件下）（提供第三方检测报告）；</w:t>
      </w:r>
    </w:p>
    <w:p w14:paraId="6263F8ED">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最高航速：≥3.5m/s（空载）。</w:t>
      </w:r>
    </w:p>
    <w:p w14:paraId="69CF1A21">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1.3</w:t>
      </w:r>
      <w:r>
        <w:rPr>
          <w:rFonts w:hint="eastAsia" w:ascii="宋体" w:hAnsi="宋体" w:eastAsia="宋体" w:cs="宋体"/>
          <w:b/>
          <w:bCs/>
          <w:color w:val="auto"/>
          <w:sz w:val="21"/>
          <w:szCs w:val="21"/>
        </w:rPr>
        <w:t>供电系统</w:t>
      </w:r>
    </w:p>
    <w:p w14:paraId="0C35152E">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电池规格：锂电池电池容量≥20Ah；电池可更换；</w:t>
      </w:r>
    </w:p>
    <w:p w14:paraId="5F68E200">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电池充放电次数：不少于500次</w:t>
      </w:r>
      <w:r>
        <w:rPr>
          <w:rFonts w:hint="eastAsia" w:ascii="宋体" w:hAnsi="宋体" w:eastAsia="宋体" w:cs="宋体"/>
          <w:color w:val="auto"/>
          <w:sz w:val="21"/>
          <w:szCs w:val="21"/>
          <w:lang w:eastAsia="zh-CN"/>
        </w:rPr>
        <w:t>；</w:t>
      </w:r>
    </w:p>
    <w:p w14:paraId="4DD6E8BC">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安全设计：系统具有过电过热保护和充电保护功能；</w:t>
      </w:r>
    </w:p>
    <w:p w14:paraId="5D6A059D">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★防水能力</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达到IP66（提供第三方检测报告）；</w:t>
      </w:r>
    </w:p>
    <w:p w14:paraId="7FD97FB6">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快速充电设计：支持大电流专用充电器。</w:t>
      </w:r>
    </w:p>
    <w:p w14:paraId="09A761C4">
      <w:pPr>
        <w:pStyle w:val="114"/>
        <w:pageBreakBefore w:val="0"/>
        <w:kinsoku/>
        <w:wordWrap/>
        <w:overflowPunct/>
        <w:topLinePunct w:val="0"/>
        <w:bidi w:val="0"/>
        <w:spacing w:line="320" w:lineRule="exact"/>
        <w:ind w:firstLine="480"/>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1.4</w:t>
      </w:r>
      <w:r>
        <w:rPr>
          <w:rFonts w:hint="eastAsia" w:ascii="宋体" w:hAnsi="宋体" w:eastAsia="宋体" w:cs="宋体"/>
          <w:b/>
          <w:bCs/>
          <w:color w:val="auto"/>
          <w:sz w:val="21"/>
          <w:szCs w:val="21"/>
        </w:rPr>
        <w:t>导航系统</w:t>
      </w:r>
    </w:p>
    <w:p w14:paraId="5C345E9B">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▲采用北斗卫星定位，</w:t>
      </w:r>
      <w:r>
        <w:rPr>
          <w:rFonts w:hint="eastAsia" w:ascii="宋体" w:hAnsi="宋体" w:eastAsia="宋体" w:cs="宋体"/>
          <w:color w:val="auto"/>
          <w:sz w:val="21"/>
          <w:szCs w:val="21"/>
          <w:lang w:eastAsia="zh-CN"/>
        </w:rPr>
        <w:t>不使用</w:t>
      </w:r>
      <w:r>
        <w:rPr>
          <w:rFonts w:hint="eastAsia" w:ascii="宋体" w:hAnsi="宋体" w:eastAsia="宋体" w:cs="宋体"/>
          <w:color w:val="auto"/>
          <w:sz w:val="21"/>
          <w:szCs w:val="21"/>
          <w:lang w:val="en-US" w:eastAsia="zh-CN"/>
        </w:rPr>
        <w:t>GPS</w:t>
      </w:r>
      <w:r>
        <w:rPr>
          <w:rFonts w:hint="eastAsia" w:ascii="宋体" w:hAnsi="宋体" w:eastAsia="宋体" w:cs="宋体"/>
          <w:color w:val="auto"/>
          <w:sz w:val="21"/>
          <w:szCs w:val="21"/>
        </w:rPr>
        <w:t>；（提供第三方质检报告）</w:t>
      </w:r>
    </w:p>
    <w:p w14:paraId="2B288C2B">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水平定位精度≤2m，速度精度≤0.</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 xml:space="preserve"> m/s；</w:t>
      </w:r>
    </w:p>
    <w:p w14:paraId="192477F6">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1.5</w:t>
      </w:r>
      <w:r>
        <w:rPr>
          <w:rFonts w:hint="eastAsia" w:ascii="宋体" w:hAnsi="宋体" w:eastAsia="宋体" w:cs="宋体"/>
          <w:b/>
          <w:bCs/>
          <w:color w:val="auto"/>
          <w:sz w:val="21"/>
          <w:szCs w:val="21"/>
        </w:rPr>
        <w:t>主控系统</w:t>
      </w:r>
    </w:p>
    <w:p w14:paraId="3FCA28E9">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主控制器输入电压范围：15V</w:t>
      </w:r>
      <w:bookmarkStart w:id="5" w:name="_Hlk11078706"/>
      <w:r>
        <w:rPr>
          <w:rFonts w:hint="eastAsia" w:ascii="宋体" w:hAnsi="宋体" w:eastAsia="宋体" w:cs="宋体"/>
          <w:color w:val="auto"/>
          <w:sz w:val="21"/>
          <w:szCs w:val="21"/>
        </w:rPr>
        <w:t>–</w:t>
      </w:r>
      <w:bookmarkEnd w:id="5"/>
      <w:r>
        <w:rPr>
          <w:rFonts w:hint="eastAsia" w:ascii="宋体" w:hAnsi="宋体" w:eastAsia="宋体" w:cs="宋体"/>
          <w:color w:val="auto"/>
          <w:sz w:val="21"/>
          <w:szCs w:val="21"/>
        </w:rPr>
        <w:t>36V；</w:t>
      </w:r>
    </w:p>
    <w:p w14:paraId="32382175">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驱动控制系统功能：自主导航，可由用户自行设置路线，按设定的路线自动完成定点定量水质采样和水质监测，自主航行，可在无遥控下根据卫星定位，自主导航行驶，完成任务后自动返航，确保在超出控制信号覆盖范围时依然可以正常工作；</w:t>
      </w:r>
    </w:p>
    <w:p w14:paraId="4BFCE8EE">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支持遥控器手动模式控制，完成全部的航行控制和采样任务；</w:t>
      </w:r>
    </w:p>
    <w:p w14:paraId="7B776A97">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通讯</w:t>
      </w:r>
      <w:r>
        <w:rPr>
          <w:rFonts w:hint="eastAsia" w:ascii="宋体" w:hAnsi="宋体" w:eastAsia="宋体" w:cs="宋体"/>
          <w:color w:val="auto"/>
          <w:sz w:val="21"/>
          <w:szCs w:val="21"/>
        </w:rPr>
        <w:t>距离：开阔地段通信距离</w:t>
      </w:r>
      <w:r>
        <w:rPr>
          <w:rFonts w:hint="eastAsia" w:ascii="宋体" w:hAnsi="宋体" w:eastAsia="宋体" w:cs="宋体"/>
          <w:color w:val="auto"/>
          <w:sz w:val="21"/>
          <w:szCs w:val="21"/>
          <w:lang w:eastAsia="zh-CN"/>
        </w:rPr>
        <w:t>不小于</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公里</w:t>
      </w:r>
      <w:r>
        <w:rPr>
          <w:rFonts w:hint="eastAsia" w:ascii="宋体" w:hAnsi="宋体" w:eastAsia="宋体" w:cs="宋体"/>
          <w:color w:val="auto"/>
          <w:sz w:val="21"/>
          <w:szCs w:val="21"/>
          <w:lang w:eastAsia="zh-CN"/>
        </w:rPr>
        <w:t>；</w:t>
      </w:r>
    </w:p>
    <w:p w14:paraId="75F56674">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一键返航，在遇到紧急情况时需要船只紧急返航时，可选择一键返航，让船只自行返回；</w:t>
      </w:r>
    </w:p>
    <w:p w14:paraId="1D4495A3">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偏航时，系统能自动校正航线，偏航距离≤2m；</w:t>
      </w:r>
    </w:p>
    <w:p w14:paraId="4E918C3A">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手动遥控模式下可通过遥控器实现螺旋桨输出功率上限连续调节以适应不同流速条件下开展测流工作；</w:t>
      </w:r>
    </w:p>
    <w:p w14:paraId="4F775AF1">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★软件支持自动生成轨迹功能，可显示沿途监测点序号及行程距离（提供软件截图证明）；</w:t>
      </w:r>
    </w:p>
    <w:p w14:paraId="44D2FF62">
      <w:pPr>
        <w:pStyle w:val="114"/>
        <w:pageBreakBefore w:val="0"/>
        <w:kinsoku/>
        <w:wordWrap/>
        <w:overflowPunct/>
        <w:topLinePunct w:val="0"/>
        <w:bidi w:val="0"/>
        <w:spacing w:line="320" w:lineRule="exact"/>
        <w:ind w:firstLine="567" w:firstLineChars="270"/>
        <w:rPr>
          <w:rFonts w:hint="eastAsia" w:ascii="宋体" w:hAnsi="宋体" w:eastAsia="宋体" w:cs="宋体"/>
          <w:color w:val="auto"/>
          <w:sz w:val="21"/>
          <w:szCs w:val="21"/>
        </w:rPr>
      </w:pPr>
      <w:r>
        <w:rPr>
          <w:rFonts w:hint="eastAsia" w:ascii="宋体" w:hAnsi="宋体" w:eastAsia="宋体" w:cs="宋体"/>
          <w:color w:val="auto"/>
          <w:sz w:val="21"/>
          <w:szCs w:val="21"/>
        </w:rPr>
        <w:t>软件支持监测点跳转功能，可有效实现紧急避险、无效监测点规避（提供软件截图证明）。</w:t>
      </w:r>
    </w:p>
    <w:p w14:paraId="28600073">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1.6自动采样设备</w:t>
      </w:r>
    </w:p>
    <w:p w14:paraId="4D43FBC4">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水质采样方式</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采用收放采样管模式</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采样</w:t>
      </w:r>
      <w:r>
        <w:rPr>
          <w:rFonts w:hint="eastAsia" w:ascii="宋体" w:hAnsi="宋体" w:eastAsia="宋体" w:cs="宋体"/>
          <w:color w:val="auto"/>
          <w:sz w:val="21"/>
          <w:szCs w:val="21"/>
          <w:lang w:eastAsia="zh-CN"/>
        </w:rPr>
        <w:t>深度</w:t>
      </w:r>
      <w:r>
        <w:rPr>
          <w:rFonts w:hint="eastAsia" w:ascii="宋体" w:hAnsi="宋体" w:eastAsia="宋体" w:cs="宋体"/>
          <w:color w:val="auto"/>
          <w:sz w:val="21"/>
          <w:szCs w:val="21"/>
          <w:lang w:val="en-US" w:eastAsia="zh-CN"/>
        </w:rPr>
        <w:t>0.3-0.5m</w:t>
      </w:r>
      <w:r>
        <w:rPr>
          <w:rFonts w:hint="eastAsia" w:ascii="宋体" w:hAnsi="宋体" w:eastAsia="宋体" w:cs="宋体"/>
          <w:color w:val="auto"/>
          <w:sz w:val="21"/>
          <w:szCs w:val="21"/>
        </w:rPr>
        <w:t>，且保持至采样瓶注满水状态；</w:t>
      </w:r>
      <w:r>
        <w:rPr>
          <w:rFonts w:hint="eastAsia" w:ascii="宋体" w:hAnsi="宋体" w:eastAsia="宋体" w:cs="宋体"/>
          <w:color w:val="auto"/>
          <w:sz w:val="21"/>
          <w:szCs w:val="21"/>
          <w:lang w:eastAsia="zh-CN"/>
        </w:rPr>
        <w:t>非采样状态，</w:t>
      </w:r>
      <w:r>
        <w:rPr>
          <w:rFonts w:hint="eastAsia" w:ascii="宋体" w:hAnsi="宋体" w:eastAsia="宋体" w:cs="宋体"/>
          <w:color w:val="auto"/>
          <w:sz w:val="21"/>
          <w:szCs w:val="21"/>
        </w:rPr>
        <w:t>采样管</w:t>
      </w:r>
      <w:r>
        <w:rPr>
          <w:rFonts w:hint="eastAsia" w:ascii="宋体" w:hAnsi="宋体" w:eastAsia="宋体" w:cs="宋体"/>
          <w:color w:val="auto"/>
          <w:sz w:val="21"/>
          <w:szCs w:val="21"/>
          <w:lang w:eastAsia="zh-CN"/>
        </w:rPr>
        <w:t>收回</w:t>
      </w:r>
      <w:r>
        <w:rPr>
          <w:rFonts w:hint="eastAsia" w:ascii="宋体" w:hAnsi="宋体" w:eastAsia="宋体" w:cs="宋体"/>
          <w:color w:val="auto"/>
          <w:sz w:val="21"/>
          <w:szCs w:val="21"/>
        </w:rPr>
        <w:t>；</w:t>
      </w:r>
    </w:p>
    <w:p w14:paraId="3F87397E">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采样管自动收放，聚乙烯材质，具有管路清洗功能，采样瓶数量≥2个，每个采样瓶容积≥1L（提供检测报告）。</w:t>
      </w:r>
    </w:p>
    <w:p w14:paraId="4571E7BF">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蠕动泵流速不低于0.</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 xml:space="preserve">L / min； </w:t>
      </w:r>
    </w:p>
    <w:p w14:paraId="54F676EE">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1.7测深仪</w:t>
      </w:r>
    </w:p>
    <w:p w14:paraId="655B27B5">
      <w:pPr>
        <w:pStyle w:val="114"/>
        <w:pageBreakBefore w:val="0"/>
        <w:kinsoku/>
        <w:wordWrap/>
        <w:overflowPunct/>
        <w:topLinePunct w:val="0"/>
        <w:bidi w:val="0"/>
        <w:spacing w:line="320" w:lineRule="exact"/>
        <w:ind w:firstLine="480"/>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eastAsia="zh-CN"/>
        </w:rPr>
        <w:t>水深：</w:t>
      </w:r>
      <w:r>
        <w:rPr>
          <w:rFonts w:hint="eastAsia" w:ascii="宋体" w:hAnsi="宋体" w:eastAsia="宋体" w:cs="宋体"/>
          <w:color w:val="auto"/>
          <w:sz w:val="21"/>
          <w:szCs w:val="21"/>
          <w:lang w:val="en-US" w:eastAsia="zh-CN"/>
        </w:rPr>
        <w:t>测深仪嵌入式搭载，不凸出船体；响应时间（主动上传）：</w:t>
      </w:r>
      <w:r>
        <w:rPr>
          <w:rFonts w:hint="eastAsia" w:ascii="宋体" w:hAnsi="宋体" w:eastAsia="宋体" w:cs="宋体"/>
          <w:color w:val="auto"/>
          <w:sz w:val="21"/>
          <w:szCs w:val="21"/>
          <w:lang w:eastAsia="zh-CN"/>
        </w:rPr>
        <w:t>≤5</w:t>
      </w:r>
      <w:r>
        <w:rPr>
          <w:rFonts w:hint="eastAsia" w:ascii="宋体" w:hAnsi="宋体" w:eastAsia="宋体" w:cs="宋体"/>
          <w:color w:val="auto"/>
          <w:sz w:val="21"/>
          <w:szCs w:val="21"/>
          <w:lang w:val="en-US" w:eastAsia="zh-CN"/>
        </w:rPr>
        <w:t>00ms/次；检测范围：</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30cm；防护等级：IP68。</w:t>
      </w:r>
    </w:p>
    <w:p w14:paraId="1E752323">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1.8多参数水质仪</w:t>
      </w:r>
    </w:p>
    <w:p w14:paraId="07344B92">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仪器应具备不少于7个传感器接口，实现水温、电导率、pH、氨氮、溶解氧、浊度、叶绿素和蓝绿藻的测定；</w:t>
      </w:r>
    </w:p>
    <w:p w14:paraId="3803C6A2">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具有防污损、耐腐蚀能力、防生物玷污能力；  </w:t>
      </w:r>
    </w:p>
    <w:p w14:paraId="1F1D3314">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所有传感器需带有背景数据</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并具备自动寻址功能，仪器接口可自动智能识别不同传感器，传感器可自行存储校准记录； </w:t>
      </w:r>
    </w:p>
    <w:p w14:paraId="3252DFC7">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设备应具有湿插拔功能和带电热插拔功能</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可配备中央清洁刷，实现探头自动清洁，扩展长期在线监测功能； </w:t>
      </w:r>
    </w:p>
    <w:p w14:paraId="4DB5080A">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无线蓝牙通讯，在野外不便接线情况下可传输数据，设置和校准仪器； </w:t>
      </w:r>
    </w:p>
    <w:p w14:paraId="0657CB34">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仪器软件应具有智能质量控制功能，能够自动检查故障和错误以保证成功的投放测量，确保避免故障、错误和数据丢失； </w:t>
      </w:r>
    </w:p>
    <w:p w14:paraId="386F6461">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仪器存储容量应不小于512MB，应可存储不少于100万个读数记录，掉电时不丢失数据； </w:t>
      </w:r>
    </w:p>
    <w:p w14:paraId="533B9EE4">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温度：测量范围：-5~+50℃，准确度：±0.1℃，分辨率：≤0.01℃； </w:t>
      </w:r>
    </w:p>
    <w:p w14:paraId="75CB9691">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电导率：测量范围：0~200mS/cm；准确度：±0.5%（0~100 mS/cm），读数之±1%（100~200 mS/cm），分辨率：0.00</w:t>
      </w:r>
      <w:r>
        <w:rPr>
          <w:rFonts w:hint="eastAsia" w:ascii="宋体" w:hAnsi="宋体" w:eastAsia="宋体" w:cs="宋体"/>
          <w:color w:val="auto"/>
          <w:sz w:val="21"/>
          <w:szCs w:val="21"/>
          <w:lang w:val="en-US" w:eastAsia="zh-CN"/>
        </w:rPr>
        <w:t>0</w:t>
      </w:r>
      <w:r>
        <w:rPr>
          <w:rFonts w:hint="eastAsia" w:ascii="宋体" w:hAnsi="宋体" w:eastAsia="宋体" w:cs="宋体"/>
          <w:color w:val="auto"/>
          <w:sz w:val="21"/>
          <w:szCs w:val="21"/>
        </w:rPr>
        <w:t>1到0.01mS/cm； </w:t>
      </w:r>
    </w:p>
    <w:p w14:paraId="7DB214D5">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pH：测量范围：0~14，分辨率：≤0.01，准确度：±0.</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 </w:t>
      </w:r>
    </w:p>
    <w:p w14:paraId="642DBF5C">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溶解氧：测量范围：0~</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0 mg/L， 0~</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00%空气饱和度，准确度：±0.</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mg/L；读数之±1%（量程0~200%空气饱和度），读数之±5%（量程200~</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00%空气饱和度）；分辨率：0.01mg/L或0.1%空气饱和度；</w:t>
      </w:r>
    </w:p>
    <w:p w14:paraId="2BED0219">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浊度：测量范围：0~4000FNU，准确度：0.3FNU或读数之±2%（0~999FNU），读数之±5%（1000~4000FNU）</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分辨率：0.1FNU；</w:t>
      </w:r>
    </w:p>
    <w:p w14:paraId="2540328E">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蓝绿藻：测量范围：0~100μg/L；0~100000细胞/ml；0~100RFU；准确度：</w:t>
      </w:r>
      <w:r>
        <w:rPr>
          <w:rFonts w:hint="eastAsia" w:ascii="宋体" w:hAnsi="宋体" w:eastAsia="宋体" w:cs="宋体"/>
          <w:color w:val="auto"/>
          <w:sz w:val="21"/>
          <w:szCs w:val="21"/>
          <w:lang w:eastAsia="zh-CN"/>
        </w:rPr>
        <w:t>±3%或</w:t>
      </w:r>
      <w:r>
        <w:rPr>
          <w:rFonts w:hint="eastAsia" w:ascii="宋体" w:hAnsi="宋体" w:eastAsia="宋体" w:cs="宋体"/>
          <w:color w:val="auto"/>
          <w:sz w:val="21"/>
          <w:szCs w:val="21"/>
        </w:rPr>
        <w:t>线性：R</w:t>
      </w:r>
      <w:r>
        <w:rPr>
          <w:rFonts w:hint="eastAsia" w:ascii="宋体" w:hAnsi="宋体" w:eastAsia="宋体" w:cs="宋体"/>
          <w:color w:val="auto"/>
          <w:sz w:val="21"/>
          <w:szCs w:val="21"/>
        </w:rPr>
        <w:softHyphen/>
      </w:r>
      <w:r>
        <w:rPr>
          <w:rFonts w:hint="eastAsia" w:ascii="宋体" w:hAnsi="宋体" w:eastAsia="宋体" w:cs="宋体"/>
          <w:color w:val="auto"/>
          <w:sz w:val="21"/>
          <w:szCs w:val="21"/>
        </w:rPr>
        <w:softHyphen/>
      </w:r>
      <w:r>
        <w:rPr>
          <w:rFonts w:hint="eastAsia" w:ascii="宋体" w:hAnsi="宋体" w:eastAsia="宋体" w:cs="宋体"/>
          <w:color w:val="auto"/>
          <w:sz w:val="21"/>
          <w:szCs w:val="21"/>
        </w:rPr>
        <w:softHyphen/>
      </w:r>
      <w:r>
        <w:rPr>
          <w:rFonts w:hint="eastAsia" w:ascii="宋体" w:hAnsi="宋体" w:eastAsia="宋体" w:cs="宋体"/>
          <w:color w:val="auto"/>
          <w:sz w:val="21"/>
          <w:szCs w:val="21"/>
        </w:rPr>
        <w:softHyphen/>
      </w:r>
      <w:r>
        <w:rPr>
          <w:rFonts w:hint="eastAsia" w:ascii="宋体" w:hAnsi="宋体" w:eastAsia="宋体" w:cs="宋体"/>
          <w:color w:val="auto"/>
          <w:sz w:val="21"/>
          <w:szCs w:val="21"/>
        </w:rPr>
        <w:t>²&gt;0.999；分辨率：0.01μg/L；1细胞/ml；0.01RFU。</w:t>
      </w:r>
    </w:p>
    <w:p w14:paraId="132D06BB">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叶绿素：测量范围：0~400ug/L；0~100RFU；准确度：</w:t>
      </w:r>
      <w:r>
        <w:rPr>
          <w:rFonts w:hint="eastAsia" w:ascii="宋体" w:hAnsi="宋体" w:eastAsia="宋体" w:cs="宋体"/>
          <w:color w:val="auto"/>
          <w:sz w:val="21"/>
          <w:szCs w:val="21"/>
          <w:lang w:eastAsia="zh-CN"/>
        </w:rPr>
        <w:t>±3%或</w:t>
      </w:r>
      <w:r>
        <w:rPr>
          <w:rFonts w:hint="eastAsia" w:ascii="宋体" w:hAnsi="宋体" w:eastAsia="宋体" w:cs="宋体"/>
          <w:color w:val="auto"/>
          <w:sz w:val="21"/>
          <w:szCs w:val="21"/>
        </w:rPr>
        <w:t>线性：R</w:t>
      </w:r>
      <w:r>
        <w:rPr>
          <w:rFonts w:hint="eastAsia" w:ascii="宋体" w:hAnsi="宋体" w:eastAsia="宋体" w:cs="宋体"/>
          <w:color w:val="auto"/>
          <w:sz w:val="21"/>
          <w:szCs w:val="21"/>
        </w:rPr>
        <w:softHyphen/>
      </w:r>
      <w:r>
        <w:rPr>
          <w:rFonts w:hint="eastAsia" w:ascii="宋体" w:hAnsi="宋体" w:eastAsia="宋体" w:cs="宋体"/>
          <w:color w:val="auto"/>
          <w:sz w:val="21"/>
          <w:szCs w:val="21"/>
        </w:rPr>
        <w:softHyphen/>
      </w:r>
      <w:r>
        <w:rPr>
          <w:rFonts w:hint="eastAsia" w:ascii="宋体" w:hAnsi="宋体" w:eastAsia="宋体" w:cs="宋体"/>
          <w:color w:val="auto"/>
          <w:sz w:val="21"/>
          <w:szCs w:val="21"/>
        </w:rPr>
        <w:softHyphen/>
      </w:r>
      <w:r>
        <w:rPr>
          <w:rFonts w:hint="eastAsia" w:ascii="宋体" w:hAnsi="宋体" w:eastAsia="宋体" w:cs="宋体"/>
          <w:color w:val="auto"/>
          <w:sz w:val="21"/>
          <w:szCs w:val="21"/>
        </w:rPr>
        <w:softHyphen/>
      </w:r>
      <w:r>
        <w:rPr>
          <w:rFonts w:hint="eastAsia" w:ascii="宋体" w:hAnsi="宋体" w:eastAsia="宋体" w:cs="宋体"/>
          <w:color w:val="auto"/>
          <w:sz w:val="21"/>
          <w:szCs w:val="21"/>
        </w:rPr>
        <w:t>²&gt;0.999；分辨率：0.01μg/LChl；0.01RFU。</w:t>
      </w:r>
    </w:p>
    <w:p w14:paraId="5D5D4D2E">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氨氮：测量范围：0~</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00mg/L，准确度：±10％读数或2mg/L，以较大者为准，分辨率：0.01mg/L。</w:t>
      </w:r>
    </w:p>
    <w:p w14:paraId="58452FD3">
      <w:pPr>
        <w:pStyle w:val="114"/>
        <w:pageBreakBefore w:val="0"/>
        <w:kinsoku/>
        <w:wordWrap/>
        <w:overflowPunct/>
        <w:topLinePunct w:val="0"/>
        <w:bidi w:val="0"/>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COD</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测量</w:t>
      </w:r>
      <w:r>
        <w:rPr>
          <w:rFonts w:hint="eastAsia" w:ascii="宋体" w:hAnsi="宋体" w:eastAsia="宋体" w:cs="宋体"/>
          <w:color w:val="auto"/>
          <w:sz w:val="21"/>
          <w:szCs w:val="21"/>
          <w:lang w:eastAsia="zh-CN"/>
        </w:rPr>
        <w:t>范围</w:t>
      </w:r>
      <w:r>
        <w:rPr>
          <w:rFonts w:hint="eastAsia" w:ascii="宋体" w:hAnsi="宋体" w:eastAsia="宋体" w:cs="宋体"/>
          <w:color w:val="auto"/>
          <w:sz w:val="21"/>
          <w:szCs w:val="21"/>
        </w:rPr>
        <w:t>：0~200mg/L；精度：±5%；分辨率：0.01mg/L；配备自动清洁刷。</w:t>
      </w:r>
    </w:p>
    <w:p w14:paraId="33D0143B">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1.9</w:t>
      </w:r>
      <w:r>
        <w:rPr>
          <w:rFonts w:hint="eastAsia" w:ascii="宋体" w:hAnsi="宋体" w:eastAsia="宋体" w:cs="宋体"/>
          <w:b/>
          <w:bCs/>
          <w:color w:val="auto"/>
          <w:sz w:val="21"/>
          <w:szCs w:val="21"/>
        </w:rPr>
        <w:t>数据呈现软件</w:t>
      </w:r>
    </w:p>
    <w:p w14:paraId="0A9C8D53">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 xml:space="preserve">含地面控制基站无人船控制系统软件（提供测绘无人船基站软件著作权登记证书）。                                 </w:t>
      </w:r>
    </w:p>
    <w:p w14:paraId="1EA1405B">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1）任务编辑</w:t>
      </w:r>
    </w:p>
    <w:p w14:paraId="50550E08">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A.下载工作水域卫星地图、并进行存储和管理；</w:t>
      </w:r>
    </w:p>
    <w:p w14:paraId="42860D8C">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B.可自动规划、生成（等间距）路径点和工作边界，并可手动或自动规划路径；</w:t>
      </w:r>
    </w:p>
    <w:p w14:paraId="21FFBA8E">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C.可在任意路径点进行工作任务设置；</w:t>
      </w:r>
    </w:p>
    <w:p w14:paraId="4312429A">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D.编辑好的任务可以保存、修改、管理、载入；</w:t>
      </w:r>
    </w:p>
    <w:p w14:paraId="30FA4908">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 xml:space="preserve">E.界面图文并茂、直观、易操作。 </w:t>
      </w:r>
    </w:p>
    <w:p w14:paraId="7AC9D576">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F.</w:t>
      </w:r>
      <w:r>
        <w:rPr>
          <w:rFonts w:hint="eastAsia" w:ascii="宋体" w:hAnsi="宋体" w:eastAsia="宋体" w:cs="宋体"/>
          <w:color w:val="auto"/>
          <w:sz w:val="21"/>
          <w:szCs w:val="21"/>
        </w:rPr>
        <w:t>支持合并上传多航次水质巡测数据及手工监测数据，生成水质分布热力图；支持上传污染排口信息，包含排口定位、照片、类型等信息。</w:t>
      </w:r>
    </w:p>
    <w:p w14:paraId="7C41D6A3">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2）遥控无人船</w:t>
      </w:r>
    </w:p>
    <w:p w14:paraId="3A745AF9">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A.在超视距情况下，可通过手动操纵无人船行驶；</w:t>
      </w:r>
    </w:p>
    <w:p w14:paraId="3C5BFDB4">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B.编辑、发送手动工作命令。</w:t>
      </w:r>
    </w:p>
    <w:p w14:paraId="290D74D2">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3）无人船系统状态监控与显示</w:t>
      </w:r>
    </w:p>
    <w:p w14:paraId="314FEDCF">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A.在卫星地图上显示无人船平台的位置、船头朝向、工作状态、坐标、行驶路径；</w:t>
      </w:r>
    </w:p>
    <w:p w14:paraId="3D9FD65A">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B.显示无人船平台剩余电量、基站电量、航速；</w:t>
      </w:r>
    </w:p>
    <w:p w14:paraId="02DEB266">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C.可发出无人船低电量警报。</w:t>
      </w:r>
    </w:p>
    <w:p w14:paraId="0E97F083">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4）数据存储系统</w:t>
      </w:r>
    </w:p>
    <w:p w14:paraId="09D4369D">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A.可整理、存储无人船工作日志；</w:t>
      </w:r>
    </w:p>
    <w:p w14:paraId="68A41710">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B.常规工作任务存储及反复调用、历史工作数据的存储，</w:t>
      </w:r>
    </w:p>
    <w:p w14:paraId="18B002B8">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C.可提供数据通道实现测量数据实时传输，无人船具备数据存储功能。</w:t>
      </w:r>
    </w:p>
    <w:p w14:paraId="69B0387F">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5）接收和发送无人船信息；</w:t>
      </w:r>
    </w:p>
    <w:p w14:paraId="50892079">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6）与遥控器对无人船控制权交互转换。</w:t>
      </w:r>
    </w:p>
    <w:p w14:paraId="4B2E6B37">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1.10</w:t>
      </w:r>
      <w:r>
        <w:rPr>
          <w:rFonts w:hint="eastAsia" w:ascii="宋体" w:hAnsi="宋体" w:eastAsia="宋体" w:cs="宋体"/>
          <w:b/>
          <w:bCs/>
          <w:color w:val="auto"/>
          <w:sz w:val="21"/>
          <w:szCs w:val="21"/>
          <w:lang w:eastAsia="zh-CN"/>
        </w:rPr>
        <w:t>配件</w:t>
      </w:r>
    </w:p>
    <w:p w14:paraId="7B7C3920">
      <w:pPr>
        <w:pStyle w:val="114"/>
        <w:pageBreakBefore w:val="0"/>
        <w:kinsoku/>
        <w:wordWrap/>
        <w:overflowPunct/>
        <w:topLinePunct w:val="0"/>
        <w:bidi w:val="0"/>
        <w:spacing w:line="3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数据终端</w:t>
      </w:r>
      <w:r>
        <w:rPr>
          <w:rFonts w:hint="eastAsia" w:ascii="宋体" w:hAnsi="宋体" w:eastAsia="宋体" w:cs="宋体"/>
          <w:color w:val="auto"/>
          <w:sz w:val="21"/>
          <w:szCs w:val="21"/>
        </w:rPr>
        <w:t>及备用户外电源一套。</w:t>
      </w:r>
    </w:p>
    <w:p w14:paraId="09B17DD2">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1.11</w:t>
      </w:r>
      <w:r>
        <w:rPr>
          <w:rFonts w:hint="eastAsia" w:ascii="宋体" w:hAnsi="宋体" w:eastAsia="宋体" w:cs="宋体"/>
          <w:b/>
          <w:bCs/>
          <w:color w:val="auto"/>
          <w:sz w:val="21"/>
          <w:szCs w:val="21"/>
          <w:lang w:eastAsia="zh-CN"/>
        </w:rPr>
        <w:t>售后服务</w:t>
      </w:r>
    </w:p>
    <w:p w14:paraId="5250E30D">
      <w:pPr>
        <w:pStyle w:val="114"/>
        <w:pageBreakBefore w:val="0"/>
        <w:numPr>
          <w:ilvl w:val="0"/>
          <w:numId w:val="0"/>
        </w:numPr>
        <w:tabs>
          <w:tab w:val="left" w:pos="567"/>
        </w:tabs>
        <w:kinsoku/>
        <w:wordWrap/>
        <w:overflowPunct/>
        <w:topLinePunct w:val="0"/>
        <w:bidi w:val="0"/>
        <w:spacing w:line="320" w:lineRule="exact"/>
        <w:ind w:left="0" w:leftChars="0" w:firstLine="367" w:firstLineChars="175"/>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质保期：质保期为验收合格日期起一年。</w:t>
      </w:r>
    </w:p>
    <w:p w14:paraId="0575F9C1">
      <w:pPr>
        <w:pStyle w:val="114"/>
        <w:pageBreakBefore w:val="0"/>
        <w:numPr>
          <w:ilvl w:val="0"/>
          <w:numId w:val="0"/>
        </w:numPr>
        <w:tabs>
          <w:tab w:val="left" w:pos="567"/>
        </w:tabs>
        <w:kinsoku/>
        <w:wordWrap/>
        <w:overflowPunct/>
        <w:topLinePunct w:val="0"/>
        <w:bidi w:val="0"/>
        <w:spacing w:line="320" w:lineRule="exact"/>
        <w:ind w:left="0" w:leftChars="0" w:firstLine="367" w:firstLineChars="175"/>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产品质保期内，供应商应对由于制造或材料缺陷而发生的损失负责。</w:t>
      </w:r>
    </w:p>
    <w:p w14:paraId="17F14460">
      <w:pPr>
        <w:pStyle w:val="114"/>
        <w:pageBreakBefore w:val="0"/>
        <w:numPr>
          <w:ilvl w:val="0"/>
          <w:numId w:val="0"/>
        </w:numPr>
        <w:tabs>
          <w:tab w:val="left" w:pos="567"/>
        </w:tabs>
        <w:kinsoku/>
        <w:wordWrap/>
        <w:overflowPunct/>
        <w:topLinePunct w:val="0"/>
        <w:bidi w:val="0"/>
        <w:spacing w:line="320" w:lineRule="exact"/>
        <w:ind w:left="0" w:leftChars="0" w:firstLine="367" w:firstLineChars="175"/>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交货时同时提供产品使用说明书，并指导操作人员学会操作。</w:t>
      </w:r>
    </w:p>
    <w:p w14:paraId="6AE2454D">
      <w:pPr>
        <w:pStyle w:val="114"/>
        <w:pageBreakBefore w:val="0"/>
        <w:numPr>
          <w:ilvl w:val="0"/>
          <w:numId w:val="0"/>
        </w:numPr>
        <w:tabs>
          <w:tab w:val="left" w:pos="567"/>
        </w:tabs>
        <w:kinsoku/>
        <w:wordWrap/>
        <w:overflowPunct/>
        <w:topLinePunct w:val="0"/>
        <w:bidi w:val="0"/>
        <w:spacing w:line="320" w:lineRule="exact"/>
        <w:ind w:left="0" w:leftChars="0" w:firstLine="367" w:firstLineChars="175"/>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提供日常操作，保养与管理，常见故障排除，紧急情况处理等专业培训。</w:t>
      </w:r>
    </w:p>
    <w:p w14:paraId="615CD2F3">
      <w:pPr>
        <w:pStyle w:val="114"/>
        <w:pageBreakBefore w:val="0"/>
        <w:numPr>
          <w:ilvl w:val="0"/>
          <w:numId w:val="0"/>
        </w:numPr>
        <w:tabs>
          <w:tab w:val="left" w:pos="567"/>
        </w:tabs>
        <w:kinsoku/>
        <w:wordWrap/>
        <w:overflowPunct/>
        <w:topLinePunct w:val="0"/>
        <w:bidi w:val="0"/>
        <w:spacing w:line="320" w:lineRule="exact"/>
        <w:ind w:left="0" w:leftChars="0" w:firstLine="367" w:firstLineChars="175"/>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安装标准：符合有关技术规范要求和技术标准，所有的软件和硬件必须保证同时安装到位。</w:t>
      </w:r>
    </w:p>
    <w:p w14:paraId="1FAC70E4">
      <w:pPr>
        <w:pStyle w:val="114"/>
        <w:pageBreakBefore w:val="0"/>
        <w:numPr>
          <w:ilvl w:val="0"/>
          <w:numId w:val="0"/>
        </w:numPr>
        <w:tabs>
          <w:tab w:val="left" w:pos="567"/>
        </w:tabs>
        <w:kinsoku/>
        <w:wordWrap/>
        <w:overflowPunct/>
        <w:topLinePunct w:val="0"/>
        <w:bidi w:val="0"/>
        <w:spacing w:line="320" w:lineRule="exact"/>
        <w:ind w:left="0" w:leftChars="0" w:firstLine="367" w:firstLineChars="175"/>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所有设备必须原包装到达安装地的合格产品，未经采购人允许不得私自预先安装（原厂安装的除外）。</w:t>
      </w:r>
    </w:p>
    <w:p w14:paraId="0AED69C9">
      <w:pPr>
        <w:pStyle w:val="114"/>
        <w:pageBreakBefore w:val="0"/>
        <w:numPr>
          <w:ilvl w:val="0"/>
          <w:numId w:val="0"/>
        </w:numPr>
        <w:tabs>
          <w:tab w:val="left" w:pos="567"/>
        </w:tabs>
        <w:kinsoku/>
        <w:wordWrap/>
        <w:overflowPunct/>
        <w:topLinePunct w:val="0"/>
        <w:bidi w:val="0"/>
        <w:spacing w:line="320" w:lineRule="exact"/>
        <w:ind w:left="0" w:leftChars="0" w:firstLine="367" w:firstLineChars="175"/>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原装配件是指与主机同一品牌的配件或出厂即已经安装的配件。如出现质量问题或非原装配件，供方负责包退、包换，因此而涉及的全部违约责任和费用由供应方承担。</w:t>
      </w:r>
    </w:p>
    <w:p w14:paraId="53BFE25B">
      <w:pPr>
        <w:pStyle w:val="114"/>
        <w:pageBreakBefore w:val="0"/>
        <w:tabs>
          <w:tab w:val="left" w:pos="567"/>
        </w:tabs>
        <w:kinsoku/>
        <w:wordWrap/>
        <w:overflowPunct/>
        <w:topLinePunct w:val="0"/>
        <w:bidi w:val="0"/>
        <w:spacing w:line="320" w:lineRule="exact"/>
        <w:ind w:firstLine="0" w:firstLineChars="0"/>
        <w:jc w:val="both"/>
        <w:rPr>
          <w:rFonts w:hint="eastAsia" w:ascii="宋体" w:hAnsi="宋体" w:eastAsia="宋体" w:cs="宋体"/>
          <w:b/>
          <w:bCs/>
          <w:color w:val="auto"/>
          <w:sz w:val="21"/>
          <w:szCs w:val="21"/>
          <w:lang w:val="en-US" w:eastAsia="zh-CN"/>
        </w:rPr>
      </w:pPr>
    </w:p>
    <w:p w14:paraId="76866546">
      <w:pPr>
        <w:pStyle w:val="114"/>
        <w:pageBreakBefore w:val="0"/>
        <w:tabs>
          <w:tab w:val="left" w:pos="567"/>
        </w:tabs>
        <w:kinsoku/>
        <w:wordWrap/>
        <w:overflowPunct/>
        <w:topLinePunct w:val="0"/>
        <w:bidi w:val="0"/>
        <w:spacing w:line="320" w:lineRule="exact"/>
        <w:ind w:firstLine="0" w:firstLineChars="0"/>
        <w:jc w:val="both"/>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（十八）</w:t>
      </w:r>
      <w:r>
        <w:rPr>
          <w:rFonts w:hint="eastAsia" w:ascii="宋体" w:hAnsi="宋体" w:eastAsia="宋体" w:cs="宋体"/>
          <w:b/>
          <w:bCs/>
          <w:color w:val="auto"/>
          <w:sz w:val="21"/>
          <w:szCs w:val="21"/>
          <w:lang w:eastAsia="zh-CN"/>
        </w:rPr>
        <w:t>气体流量校准器</w:t>
      </w:r>
    </w:p>
    <w:p w14:paraId="4C446453">
      <w:pPr>
        <w:pStyle w:val="114"/>
        <w:pageBreakBefore w:val="0"/>
        <w:numPr>
          <w:ilvl w:val="0"/>
          <w:numId w:val="0"/>
        </w:numPr>
        <w:tabs>
          <w:tab w:val="left" w:pos="567"/>
        </w:tabs>
        <w:kinsoku/>
        <w:wordWrap/>
        <w:overflowPunct/>
        <w:topLinePunct w:val="0"/>
        <w:bidi w:val="0"/>
        <w:spacing w:line="320" w:lineRule="exact"/>
        <w:ind w:firstLine="420" w:firstLineChars="200"/>
        <w:jc w:val="both"/>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产品配置清单 </w:t>
      </w:r>
    </w:p>
    <w:tbl>
      <w:tblPr>
        <w:tblStyle w:val="61"/>
        <w:tblW w:w="782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6"/>
        <w:gridCol w:w="2484"/>
        <w:gridCol w:w="851"/>
        <w:gridCol w:w="812"/>
        <w:gridCol w:w="3046"/>
      </w:tblGrid>
      <w:tr w14:paraId="6577C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1DCC8BC7">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序号</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239A99F1">
            <w:pPr>
              <w:keepNext w:val="0"/>
              <w:keepLines w:val="0"/>
              <w:pageBreakBefore w:val="0"/>
              <w:widowControl/>
              <w:suppressLineNumbers w:val="0"/>
              <w:kinsoku/>
              <w:wordWrap/>
              <w:overflowPunct/>
              <w:topLinePunct w:val="0"/>
              <w:bidi w:val="0"/>
              <w:spacing w:line="32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名称</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2A2C3483">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数量</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2E0CCA24">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单位</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56544C80">
            <w:pPr>
              <w:keepNext w:val="0"/>
              <w:keepLines w:val="0"/>
              <w:pageBreakBefore w:val="0"/>
              <w:widowControl/>
              <w:suppressLineNumbers w:val="0"/>
              <w:kinsoku/>
              <w:wordWrap/>
              <w:overflowPunct/>
              <w:topLinePunct w:val="0"/>
              <w:bidi w:val="0"/>
              <w:spacing w:line="32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说 明</w:t>
            </w:r>
          </w:p>
        </w:tc>
      </w:tr>
      <w:tr w14:paraId="4A121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6D603390">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7368458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sz w:val="21"/>
                <w:szCs w:val="21"/>
                <w:u w:val="none"/>
              </w:rPr>
              <w:t>小流量气体流量校准器</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F0B3B9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53E7435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290C47B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p>
        </w:tc>
      </w:tr>
      <w:tr w14:paraId="6A561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33987D19">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2C9E69D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大流量气体流量校准器</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4683A2C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60B41FD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台</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704FE42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tc>
      </w:tr>
      <w:tr w14:paraId="531D8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2BA055C6">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1712167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切割头快速接头</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F8053E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605BAFE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73EA0A8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tc>
      </w:tr>
      <w:tr w14:paraId="632EF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0532E174">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3760E49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 连接管</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1816525C">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076668CE">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根</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734227A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 m 硅胶管</w:t>
            </w:r>
          </w:p>
        </w:tc>
      </w:tr>
      <w:tr w14:paraId="4FF55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4F75B574">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756D1C47">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转接头</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5A0FCD2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304A9BB5">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0B954D8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1/4"NPT 内螺纹 6 mm 塔头</w:t>
            </w:r>
          </w:p>
        </w:tc>
      </w:tr>
      <w:tr w14:paraId="19596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70C45005">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631DAFB6">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转接头</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00AA7C4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4DF1C583">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0E184718">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1/4"NPT 内螺纹 8 mm 塔头</w:t>
            </w:r>
          </w:p>
        </w:tc>
      </w:tr>
      <w:tr w14:paraId="0AF85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6C53EC28">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2E9261FF">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转接头</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01EC9FB1">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4A32B84D">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个</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61BF24A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1/8"NPT 内螺纹 6 mm 塔头</w:t>
            </w:r>
          </w:p>
        </w:tc>
      </w:tr>
      <w:tr w14:paraId="52774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36" w:type="dxa"/>
            <w:tcBorders>
              <w:top w:val="single" w:color="000000" w:sz="4" w:space="0"/>
              <w:left w:val="single" w:color="000000" w:sz="4" w:space="0"/>
              <w:bottom w:val="single" w:color="000000" w:sz="4" w:space="0"/>
              <w:right w:val="single" w:color="000000" w:sz="4" w:space="0"/>
            </w:tcBorders>
            <w:noWrap/>
            <w:vAlign w:val="center"/>
          </w:tcPr>
          <w:p w14:paraId="7B1DF41C">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w:t>
            </w:r>
          </w:p>
        </w:tc>
        <w:tc>
          <w:tcPr>
            <w:tcW w:w="2484" w:type="dxa"/>
            <w:tcBorders>
              <w:top w:val="single" w:color="000000" w:sz="4" w:space="0"/>
              <w:left w:val="single" w:color="000000" w:sz="4" w:space="0"/>
              <w:bottom w:val="single" w:color="000000" w:sz="4" w:space="0"/>
              <w:right w:val="single" w:color="000000" w:sz="4" w:space="0"/>
            </w:tcBorders>
            <w:noWrap w:val="0"/>
            <w:vAlign w:val="center"/>
          </w:tcPr>
          <w:p w14:paraId="11F57950">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便携箱</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14:paraId="3B88021A">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812" w:type="dxa"/>
            <w:tcBorders>
              <w:top w:val="single" w:color="000000" w:sz="4" w:space="0"/>
              <w:left w:val="single" w:color="000000" w:sz="4" w:space="0"/>
              <w:bottom w:val="single" w:color="000000" w:sz="4" w:space="0"/>
              <w:right w:val="single" w:color="000000" w:sz="4" w:space="0"/>
            </w:tcBorders>
            <w:noWrap w:val="0"/>
            <w:vAlign w:val="center"/>
          </w:tcPr>
          <w:p w14:paraId="26676A79">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只</w:t>
            </w:r>
          </w:p>
        </w:tc>
        <w:tc>
          <w:tcPr>
            <w:tcW w:w="3046" w:type="dxa"/>
            <w:tcBorders>
              <w:top w:val="single" w:color="000000" w:sz="4" w:space="0"/>
              <w:left w:val="single" w:color="000000" w:sz="4" w:space="0"/>
              <w:bottom w:val="single" w:color="000000" w:sz="4" w:space="0"/>
              <w:right w:val="single" w:color="000000" w:sz="4" w:space="0"/>
            </w:tcBorders>
            <w:noWrap/>
            <w:vAlign w:val="center"/>
          </w:tcPr>
          <w:p w14:paraId="48058022">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tc>
      </w:tr>
    </w:tbl>
    <w:p w14:paraId="312465B5">
      <w:pPr>
        <w:keepNext w:val="0"/>
        <w:keepLines w:val="0"/>
        <w:pageBreakBefore w:val="0"/>
        <w:widowControl/>
        <w:suppressLineNumbers w:val="0"/>
        <w:kinsoku/>
        <w:wordWrap/>
        <w:overflowPunct/>
        <w:topLinePunct w:val="0"/>
        <w:bidi w:val="0"/>
        <w:spacing w:line="320" w:lineRule="exact"/>
        <w:ind w:left="0" w:leftChars="0" w:firstLine="0" w:firstLineChars="0"/>
        <w:jc w:val="both"/>
        <w:textAlignment w:val="center"/>
        <w:rPr>
          <w:rFonts w:hint="eastAsia" w:ascii="宋体" w:hAnsi="宋体" w:eastAsia="宋体" w:cs="宋体"/>
          <w:i w:val="0"/>
          <w:iCs w:val="0"/>
          <w:color w:val="auto"/>
          <w:kern w:val="0"/>
          <w:sz w:val="21"/>
          <w:szCs w:val="21"/>
          <w:u w:val="none"/>
          <w:lang w:val="en-US" w:eastAsia="zh-CN" w:bidi="ar"/>
        </w:rPr>
      </w:pPr>
    </w:p>
    <w:p w14:paraId="27455BD2">
      <w:pPr>
        <w:pStyle w:val="114"/>
        <w:pageBreakBefore w:val="0"/>
        <w:tabs>
          <w:tab w:val="left" w:pos="567"/>
        </w:tabs>
        <w:kinsoku/>
        <w:wordWrap/>
        <w:overflowPunct/>
        <w:topLinePunct w:val="0"/>
        <w:bidi w:val="0"/>
        <w:spacing w:line="320" w:lineRule="exact"/>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 xml:space="preserve">1.1 </w:t>
      </w:r>
      <w:r>
        <w:rPr>
          <w:rFonts w:hint="eastAsia" w:ascii="宋体" w:hAnsi="宋体" w:eastAsia="宋体" w:cs="宋体"/>
          <w:b/>
          <w:bCs/>
          <w:color w:val="auto"/>
          <w:sz w:val="21"/>
          <w:szCs w:val="21"/>
          <w:lang w:eastAsia="zh-CN"/>
        </w:rPr>
        <w:t>小流量气体流量校准器</w:t>
      </w:r>
    </w:p>
    <w:p w14:paraId="6AE64D4E">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量程：0-500sccm</w:t>
      </w:r>
    </w:p>
    <w:p w14:paraId="33191C22">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测量参数：质量流量、体积流量、大气压、气体温度，累计流量、平均</w:t>
      </w:r>
    </w:p>
    <w:p w14:paraId="42730C0A">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流量 </w:t>
      </w:r>
    </w:p>
    <w:p w14:paraId="58052D9E">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自带温压补偿</w:t>
      </w:r>
    </w:p>
    <w:p w14:paraId="13320923">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响应时间: ≤ 50ms</w:t>
      </w:r>
    </w:p>
    <w:p w14:paraId="7BF7D26D">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精度：±0.6%读数或±0.1% 满量程（取最大值）</w:t>
      </w:r>
    </w:p>
    <w:p w14:paraId="2F1B8934">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工作温度：-10℃~ 60℃</w:t>
      </w:r>
    </w:p>
    <w:p w14:paraId="6F5BDD76">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温度探头精度：±0.2℃</w:t>
      </w:r>
    </w:p>
    <w:p w14:paraId="0E6B295B">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工作湿度：0~75% RH（无冷凝）</w:t>
      </w:r>
    </w:p>
    <w:p w14:paraId="684DF82C">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相对湿度精度：±3.5% RH</w:t>
      </w:r>
    </w:p>
    <w:p w14:paraId="3E0A44D5">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电池续航：≥15小时</w:t>
      </w:r>
    </w:p>
    <w:p w14:paraId="36E7856E">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最大工作压力：80 PSI 绝压</w:t>
      </w:r>
    </w:p>
    <w:p w14:paraId="1F3BC78F">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压力精度：±0.1 PSI 绝压</w:t>
      </w:r>
    </w:p>
    <w:p w14:paraId="18B3AC55">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预热时间：≤ 10 s</w:t>
      </w:r>
    </w:p>
    <w:p w14:paraId="76226AFC">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重复性：±0.2%满量程</w:t>
      </w:r>
    </w:p>
    <w:p w14:paraId="573DA827">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控制软件：可通过数字通讯远程控制、数据采集、记录</w:t>
      </w:r>
    </w:p>
    <w:p w14:paraId="0919B886">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b w:val="0"/>
          <w:bCs w:val="0"/>
          <w:color w:val="auto"/>
          <w:sz w:val="21"/>
          <w:szCs w:val="21"/>
          <w:lang w:val="en-US" w:eastAsia="zh-CN"/>
        </w:rPr>
        <w:t>显示：带背光 LCD 显示</w:t>
      </w:r>
    </w:p>
    <w:p w14:paraId="0A44C924">
      <w:pPr>
        <w:pStyle w:val="114"/>
        <w:pageBreakBefore w:val="0"/>
        <w:tabs>
          <w:tab w:val="left" w:pos="567"/>
        </w:tabs>
        <w:kinsoku/>
        <w:wordWrap/>
        <w:overflowPunct/>
        <w:topLinePunct w:val="0"/>
        <w:bidi w:val="0"/>
        <w:spacing w:line="320" w:lineRule="exact"/>
        <w:rPr>
          <w:rFonts w:hint="eastAsia" w:asciiTheme="minorEastAsia" w:hAnsiTheme="minorEastAsia" w:eastAsiaTheme="minorEastAsia" w:cstheme="minorEastAsia"/>
          <w:b/>
          <w:bCs/>
          <w:i w:val="0"/>
          <w:iCs w:val="0"/>
          <w:color w:val="auto"/>
          <w:sz w:val="24"/>
          <w:lang w:val="en-US" w:eastAsia="zh-CN"/>
        </w:rPr>
      </w:pPr>
    </w:p>
    <w:p w14:paraId="66E61A55">
      <w:pPr>
        <w:pStyle w:val="114"/>
        <w:keepNext w:val="0"/>
        <w:keepLines w:val="0"/>
        <w:pageBreakBefore w:val="0"/>
        <w:widowControl w:val="0"/>
        <w:tabs>
          <w:tab w:val="left" w:pos="567"/>
        </w:tabs>
        <w:kinsoku/>
        <w:wordWrap/>
        <w:overflowPunct/>
        <w:topLinePunct w:val="0"/>
        <w:autoSpaceDE/>
        <w:autoSpaceDN/>
        <w:bidi w:val="0"/>
        <w:adjustRightInd/>
        <w:snapToGrid/>
        <w:spacing w:line="320" w:lineRule="exact"/>
        <w:textAlignment w:val="auto"/>
        <w:rPr>
          <w:rFonts w:hint="eastAsia" w:ascii="宋体" w:hAnsi="宋体" w:eastAsia="宋体" w:cs="宋体"/>
          <w:b/>
          <w:bCs/>
          <w:i w:val="0"/>
          <w:iCs w:val="0"/>
          <w:color w:val="auto"/>
          <w:sz w:val="21"/>
          <w:szCs w:val="21"/>
          <w:lang w:eastAsia="zh-CN"/>
        </w:rPr>
      </w:pPr>
      <w:r>
        <w:rPr>
          <w:rFonts w:hint="eastAsia" w:ascii="宋体" w:hAnsi="宋体" w:eastAsia="宋体" w:cs="宋体"/>
          <w:b/>
          <w:bCs/>
          <w:i w:val="0"/>
          <w:iCs w:val="0"/>
          <w:color w:val="auto"/>
          <w:sz w:val="21"/>
          <w:szCs w:val="21"/>
          <w:lang w:val="en-US" w:eastAsia="zh-CN"/>
        </w:rPr>
        <w:t xml:space="preserve">1.2 </w:t>
      </w:r>
      <w:r>
        <w:rPr>
          <w:rFonts w:hint="eastAsia" w:ascii="宋体" w:hAnsi="宋体" w:eastAsia="宋体" w:cs="宋体"/>
          <w:b/>
          <w:bCs/>
          <w:i w:val="0"/>
          <w:iCs w:val="0"/>
          <w:color w:val="auto"/>
          <w:sz w:val="21"/>
          <w:szCs w:val="21"/>
          <w:lang w:eastAsia="zh-CN"/>
        </w:rPr>
        <w:t>大流量气体流量校准器</w:t>
      </w:r>
    </w:p>
    <w:p w14:paraId="61DE30C1">
      <w:pPr>
        <w:pStyle w:val="114"/>
        <w:keepNext w:val="0"/>
        <w:keepLines w:val="0"/>
        <w:pageBreakBefore w:val="0"/>
        <w:widowControl w:val="0"/>
        <w:tabs>
          <w:tab w:val="left" w:pos="567"/>
        </w:tabs>
        <w:kinsoku/>
        <w:wordWrap/>
        <w:overflowPunct/>
        <w:topLinePunct w:val="0"/>
        <w:autoSpaceDE/>
        <w:autoSpaceDN/>
        <w:bidi w:val="0"/>
        <w:adjustRightInd/>
        <w:snapToGrid/>
        <w:spacing w:line="320" w:lineRule="exac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量程：0-30slpm</w:t>
      </w:r>
    </w:p>
    <w:p w14:paraId="6F7B7D53">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color w:val="auto"/>
          <w:sz w:val="21"/>
          <w:szCs w:val="21"/>
        </w:rPr>
        <w:t>测量参数</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 xml:space="preserve">质量流量、体积流量、大气压、气体温度，累计流量、平均流量 </w:t>
      </w:r>
      <w:r>
        <w:rPr>
          <w:rFonts w:hint="eastAsia" w:ascii="宋体" w:hAnsi="宋体" w:eastAsia="宋体" w:cs="宋体"/>
          <w:color w:val="auto"/>
          <w:sz w:val="21"/>
          <w:szCs w:val="21"/>
          <w:lang w:eastAsia="zh-CN"/>
        </w:rPr>
        <w:t>、</w:t>
      </w:r>
      <w:r>
        <w:rPr>
          <w:rFonts w:hint="eastAsia" w:ascii="宋体" w:hAnsi="宋体" w:eastAsia="宋体" w:cs="宋体"/>
          <w:b w:val="0"/>
          <w:bCs w:val="0"/>
          <w:color w:val="auto"/>
          <w:sz w:val="21"/>
          <w:szCs w:val="21"/>
          <w:lang w:val="en-US" w:eastAsia="zh-CN"/>
        </w:rPr>
        <w:t>自带温压补偿</w:t>
      </w:r>
    </w:p>
    <w:p w14:paraId="02F863E6">
      <w:pPr>
        <w:pStyle w:val="114"/>
        <w:keepNext w:val="0"/>
        <w:keepLines w:val="0"/>
        <w:pageBreakBefore w:val="0"/>
        <w:widowControl w:val="0"/>
        <w:tabs>
          <w:tab w:val="left" w:pos="567"/>
        </w:tabs>
        <w:kinsoku/>
        <w:wordWrap/>
        <w:overflowPunct/>
        <w:topLinePunct w:val="0"/>
        <w:autoSpaceDE/>
        <w:autoSpaceDN/>
        <w:bidi w:val="0"/>
        <w:adjustRightInd/>
        <w:snapToGrid/>
        <w:spacing w:line="320" w:lineRule="exac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响应时间:</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50ms</w:t>
      </w:r>
    </w:p>
    <w:p w14:paraId="4C49EDCE">
      <w:pPr>
        <w:pStyle w:val="114"/>
        <w:keepNext w:val="0"/>
        <w:keepLines w:val="0"/>
        <w:pageBreakBefore w:val="0"/>
        <w:widowControl w:val="0"/>
        <w:tabs>
          <w:tab w:val="left" w:pos="567"/>
        </w:tabs>
        <w:kinsoku/>
        <w:wordWrap/>
        <w:overflowPunct/>
        <w:topLinePunct w:val="0"/>
        <w:autoSpaceDE/>
        <w:autoSpaceDN/>
        <w:bidi w:val="0"/>
        <w:adjustRightInd/>
        <w:snapToGrid/>
        <w:spacing w:line="320" w:lineRule="exac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精度：±0.75%读数或±0.1% 满量程（取最大值）</w:t>
      </w:r>
    </w:p>
    <w:p w14:paraId="20A1E973">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工作温度</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w:t>
      </w:r>
      <w:r>
        <w:rPr>
          <w:rFonts w:hint="eastAsia" w:ascii="宋体" w:hAnsi="宋体" w:eastAsia="宋体" w:cs="宋体"/>
          <w:b w:val="0"/>
          <w:bCs w:val="0"/>
          <w:color w:val="auto"/>
          <w:sz w:val="21"/>
          <w:szCs w:val="21"/>
        </w:rPr>
        <w:t>10℃~ 60℃</w:t>
      </w:r>
    </w:p>
    <w:p w14:paraId="7873F5F3">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val="0"/>
          <w:bCs w:val="0"/>
          <w:color w:val="auto"/>
          <w:sz w:val="21"/>
          <w:szCs w:val="21"/>
          <w:lang w:eastAsia="zh-CN"/>
        </w:rPr>
        <w:t>温度探头精度：±0.2℃</w:t>
      </w:r>
    </w:p>
    <w:p w14:paraId="7A2D618B">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工作湿度</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0</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75% RH（无冷凝）</w:t>
      </w:r>
    </w:p>
    <w:p w14:paraId="7153DBD8">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相对湿度精度：±3.5% RH</w:t>
      </w:r>
    </w:p>
    <w:p w14:paraId="2130858F">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电池续航</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小时</w:t>
      </w:r>
    </w:p>
    <w:p w14:paraId="5747C596">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最大工作压力</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0 PSI 绝压</w:t>
      </w:r>
    </w:p>
    <w:p w14:paraId="2BCA9B7F">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压力精度</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±0.1 PSI 绝压</w:t>
      </w:r>
    </w:p>
    <w:p w14:paraId="3A42193F">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预热时间</w:t>
      </w:r>
      <w:r>
        <w:rPr>
          <w:rFonts w:hint="eastAsia" w:ascii="宋体" w:hAnsi="宋体" w:eastAsia="宋体" w:cs="宋体"/>
          <w:color w:val="auto"/>
          <w:sz w:val="21"/>
          <w:szCs w:val="21"/>
          <w:lang w:eastAsia="zh-CN"/>
        </w:rPr>
        <w:t>：</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 xml:space="preserve"> s</w:t>
      </w:r>
    </w:p>
    <w:p w14:paraId="67503EC7">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重复性</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±0.2%满量程</w:t>
      </w:r>
    </w:p>
    <w:p w14:paraId="2A6C9FB1">
      <w:pPr>
        <w:pStyle w:val="114"/>
        <w:keepNext w:val="0"/>
        <w:keepLines w:val="0"/>
        <w:pageBreakBefore w:val="0"/>
        <w:widowControl w:val="0"/>
        <w:kinsoku/>
        <w:wordWrap/>
        <w:overflowPunct/>
        <w:topLinePunct w:val="0"/>
        <w:autoSpaceDE/>
        <w:autoSpaceDN/>
        <w:bidi w:val="0"/>
        <w:adjustRightInd/>
        <w:snapToGrid/>
        <w:spacing w:line="320" w:lineRule="exact"/>
        <w:ind w:firstLine="48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控制软件</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可通过数字通讯远程控制、数据采集、记录</w:t>
      </w:r>
    </w:p>
    <w:p w14:paraId="0319AB46">
      <w:pPr>
        <w:keepNext w:val="0"/>
        <w:keepLines w:val="0"/>
        <w:pageBreakBefore w:val="0"/>
        <w:widowControl w:val="0"/>
        <w:kinsoku/>
        <w:wordWrap/>
        <w:overflowPunct/>
        <w:topLinePunct w:val="0"/>
        <w:autoSpaceDE/>
        <w:autoSpaceDN/>
        <w:bidi w:val="0"/>
        <w:adjustRightInd/>
        <w:snapToGrid/>
        <w:spacing w:line="320" w:lineRule="exact"/>
        <w:ind w:left="0" w:leftChars="0" w:firstLine="420" w:firstLineChars="200"/>
        <w:textAlignment w:val="auto"/>
        <w:rPr>
          <w:rFonts w:hint="eastAsia" w:asciiTheme="minorEastAsia" w:hAnsiTheme="minorEastAsia" w:eastAsiaTheme="minorEastAsia" w:cstheme="minorEastAsia"/>
          <w:b w:val="0"/>
          <w:bCs w:val="0"/>
          <w:color w:val="auto"/>
          <w:sz w:val="24"/>
          <w:lang w:val="en-US" w:eastAsia="zh-CN"/>
        </w:rPr>
      </w:pPr>
      <w:r>
        <w:rPr>
          <w:rFonts w:hint="eastAsia" w:ascii="宋体" w:hAnsi="宋体" w:eastAsia="宋体" w:cs="宋体"/>
          <w:color w:val="auto"/>
          <w:sz w:val="21"/>
          <w:szCs w:val="21"/>
          <w:lang w:eastAsia="zh-CN"/>
        </w:rPr>
        <w:t>显示：</w:t>
      </w:r>
      <w:r>
        <w:rPr>
          <w:rFonts w:hint="eastAsia" w:ascii="宋体" w:hAnsi="宋体" w:eastAsia="宋体" w:cs="宋体"/>
          <w:color w:val="auto"/>
          <w:sz w:val="21"/>
          <w:szCs w:val="21"/>
        </w:rPr>
        <w:t>带背光 LCD 显示</w:t>
      </w:r>
    </w:p>
    <w:p w14:paraId="3F5AFC76">
      <w:pPr>
        <w:pStyle w:val="4"/>
        <w:pageBreakBefore w:val="0"/>
        <w:numPr>
          <w:ilvl w:val="0"/>
          <w:numId w:val="0"/>
        </w:numPr>
        <w:kinsoku/>
        <w:wordWrap/>
        <w:overflowPunct/>
        <w:topLinePunct w:val="0"/>
        <w:bidi w:val="0"/>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4E1B3DB0">
      <w:pPr>
        <w:pStyle w:val="4"/>
        <w:pageBreakBefore w:val="0"/>
        <w:numPr>
          <w:ilvl w:val="0"/>
          <w:numId w:val="0"/>
        </w:numPr>
        <w:kinsoku/>
        <w:wordWrap/>
        <w:overflowPunct/>
        <w:topLinePunct w:val="0"/>
        <w:bidi w:val="0"/>
        <w:snapToGrid/>
        <w:spacing w:beforeLines="0" w:line="320" w:lineRule="exact"/>
        <w:ind w:right="0" w:rightChars="0"/>
        <w:jc w:val="both"/>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（十九）荧光分光光度计</w:t>
      </w:r>
    </w:p>
    <w:p w14:paraId="19A95E07">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1. 工作条件及用途</w:t>
      </w:r>
    </w:p>
    <w:p w14:paraId="543472D8">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 工作条件：电源：90~260VAC，50/60HZ</w:t>
      </w:r>
    </w:p>
    <w:p w14:paraId="379F8CCB">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1.2 用途：用于生物、食品、环境、材料等领域的分析，更可以作为鉴定及定量分析的强有力的手段。</w:t>
      </w:r>
    </w:p>
    <w:p w14:paraId="22207B15">
      <w:pPr>
        <w:pStyle w:val="114"/>
        <w:keepNext w:val="0"/>
        <w:keepLines w:val="0"/>
        <w:pageBreakBefore w:val="0"/>
        <w:widowControl w:val="0"/>
        <w:numPr>
          <w:ilvl w:val="0"/>
          <w:numId w:val="0"/>
        </w:numPr>
        <w:kinsoku/>
        <w:wordWrap/>
        <w:overflowPunct/>
        <w:topLinePunct w:val="0"/>
        <w:autoSpaceDE/>
        <w:autoSpaceDN/>
        <w:bidi w:val="0"/>
        <w:adjustRightInd/>
        <w:snapToGrid/>
        <w:spacing w:line="320" w:lineRule="exact"/>
        <w:ind w:left="420" w:leftChars="200" w:right="0" w:rightChars="0" w:firstLine="0" w:firstLineChars="0"/>
        <w:jc w:val="left"/>
        <w:textAlignment w:val="auto"/>
        <w:rPr>
          <w:rFonts w:hint="default" w:ascii="宋体" w:hAnsi="宋体" w:eastAsia="宋体" w:cs="宋体"/>
          <w:color w:val="auto"/>
          <w:sz w:val="21"/>
          <w:szCs w:val="21"/>
          <w:lang w:val="en-US" w:eastAsia="zh-CN"/>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技术参数要求</w:t>
      </w:r>
      <w:r>
        <w:rPr>
          <w:rFonts w:hint="eastAsia" w:ascii="宋体" w:hAnsi="宋体" w:eastAsia="宋体" w:cs="宋体"/>
          <w:i w:val="0"/>
          <w:caps w:val="0"/>
          <w:color w:val="auto"/>
          <w:spacing w:val="0"/>
          <w:kern w:val="0"/>
          <w:sz w:val="21"/>
          <w:szCs w:val="21"/>
          <w:shd w:val="clear" w:fill="FFFFFF"/>
          <w:lang w:val="en-US" w:eastAsia="zh-CN" w:bidi="ar"/>
        </w:rPr>
        <w:br w:type="textWrapping"/>
      </w:r>
      <w:r>
        <w:rPr>
          <w:rFonts w:hint="default" w:ascii="宋体" w:hAnsi="宋体" w:eastAsia="宋体" w:cs="宋体"/>
          <w:color w:val="auto"/>
          <w:sz w:val="21"/>
          <w:szCs w:val="21"/>
          <w:lang w:val="en-US" w:eastAsia="zh-CN"/>
        </w:rPr>
        <w:t>2.1功能：荧光、磷光、发光；</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2.2光源等效功率：≥100 KW；</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2.3光源类型: 脉冲氙灯光源；</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2.4光源寿命：≥3000小时；</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2.5光子漂白最大光能量：≥50 W；</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2.6暗电流校正频率：≥150 Hz；</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2.7主机波长范围：激发，200～850nm；发射，200～850 nm；</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2.8带宽范围：1.2～20 nm；</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2.9波长准确性：≤±0.8 nm；</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2.10波长重现性：≤±0.4 nm；</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2.11信噪比：≥700:1 RMS；</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2.12扫描速度：≥20000 nm/min；</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2.13滤光片：≥5组，自动；</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2.14软件控制自定义滤光片位：≥15 位；</w:t>
      </w:r>
      <w:r>
        <w:rPr>
          <w:rFonts w:hint="default" w:ascii="宋体" w:hAnsi="宋体" w:eastAsia="宋体" w:cs="宋体"/>
          <w:color w:val="auto"/>
          <w:sz w:val="21"/>
          <w:szCs w:val="21"/>
          <w:lang w:val="en-US" w:eastAsia="zh-CN"/>
        </w:rPr>
        <w:br w:type="textWrapping"/>
      </w:r>
      <w:r>
        <w:rPr>
          <w:rFonts w:hint="default" w:ascii="宋体" w:hAnsi="宋体" w:eastAsia="宋体" w:cs="宋体"/>
          <w:color w:val="auto"/>
          <w:sz w:val="21"/>
          <w:szCs w:val="21"/>
          <w:lang w:val="en-US" w:eastAsia="zh-CN"/>
        </w:rPr>
        <w:t>2.15荧光强度测定范围：0～20000；</w:t>
      </w:r>
    </w:p>
    <w:p w14:paraId="6416BB44">
      <w:pPr>
        <w:pStyle w:val="114"/>
        <w:keepNext w:val="0"/>
        <w:keepLines w:val="0"/>
        <w:pageBreakBefore w:val="0"/>
        <w:widowControl w:val="0"/>
        <w:numPr>
          <w:ilvl w:val="0"/>
          <w:numId w:val="0"/>
        </w:numPr>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default" w:ascii="宋体" w:hAnsi="宋体" w:eastAsia="宋体" w:cs="宋体"/>
          <w:color w:val="auto"/>
          <w:sz w:val="21"/>
          <w:szCs w:val="21"/>
          <w:lang w:val="en-US" w:eastAsia="zh-CN"/>
        </w:rPr>
        <w:t>2.16工作站：Windows 7/10 32/64位下荧光/磷光/发光分光光度计仪器控制及数据处理软件。具有光谱扫描、预扫描模式、同步扫描(等能量差/波长差)、各向异性/偏振性扫描、3D光谱扫描、3D 同步扫描、定量、单读数、各向异性/偏振性、时间驱动、动力学、量子产率(相对/绝度)、波长程序、吸液器控制等功能。有对储存数据的算术运算功能，包括四则运算，平滑功能，1~4阶导数，求面积，求峰值等</w:t>
      </w:r>
      <w:r>
        <w:rPr>
          <w:rFonts w:hint="eastAsia" w:ascii="宋体" w:hAnsi="宋体" w:eastAsia="宋体" w:cs="宋体"/>
          <w:color w:val="auto"/>
          <w:sz w:val="21"/>
          <w:szCs w:val="21"/>
        </w:rPr>
        <w:t>。</w:t>
      </w:r>
    </w:p>
    <w:p w14:paraId="1C122B62">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3. 仪器配置要求</w:t>
      </w:r>
    </w:p>
    <w:p w14:paraId="5DE075E7">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3.1 主机1台</w:t>
      </w:r>
    </w:p>
    <w:p w14:paraId="2F4F1B46">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3.2 系统控制及数据处理软件</w:t>
      </w:r>
    </w:p>
    <w:p w14:paraId="4500A68A">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3.3 标准液体测试比色皿附件 1套</w:t>
      </w:r>
    </w:p>
    <w:p w14:paraId="3595FADD">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3.4 主流配置商务计算机 1套</w:t>
      </w:r>
    </w:p>
    <w:p w14:paraId="47C6A7A8">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4. 技术资料</w:t>
      </w:r>
    </w:p>
    <w:p w14:paraId="773C3FC8">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4.1 详细的操作指南、仪器维护的有关资料</w:t>
      </w:r>
    </w:p>
    <w:p w14:paraId="2FBEA6E6">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4.2 提供相关应用技术资料</w:t>
      </w:r>
    </w:p>
    <w:p w14:paraId="2417CD84">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5. 技术服务和培训</w:t>
      </w:r>
    </w:p>
    <w:p w14:paraId="6C93B7C2">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5.1 生产厂家到最终用户所在地安装、调试试运行合格后验收；</w:t>
      </w:r>
    </w:p>
    <w:p w14:paraId="3E88DAA1">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5.2 有生产厂家为用户提供现场技术培训，提供免费的仪器操作、维护、维修的国内培训2人3个工作日；</w:t>
      </w:r>
    </w:p>
    <w:p w14:paraId="400CFC46">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5.3 产品质量按中华人民共和国有关质量标准实行“三包”服务；</w:t>
      </w:r>
    </w:p>
    <w:p w14:paraId="5639ADEA">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5.4质保期为壹年。保修期间，提供免费上门维修、更换非人为原因损坏零部件及技术咨询服务。</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5.5在保修期结束后，保证10年内提供备件、配件及试剂供应。</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5.6 保证产品为最新原厂设备。</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5.7 仪器一旦出现问题要求4小时内做出响应，24小时到现场服务。</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5.8为用户提供仪器的基本原理、操作、日常维护及基础分析仪器理论课程，并为用户提供上机培训。</w:t>
      </w:r>
    </w:p>
    <w:p w14:paraId="10497045">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2" w:firstLineChars="200"/>
        <w:jc w:val="left"/>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6. 质量保证</w:t>
      </w:r>
    </w:p>
    <w:p w14:paraId="41872B69">
      <w:pPr>
        <w:pStyle w:val="114"/>
        <w:keepNext w:val="0"/>
        <w:keepLines w:val="0"/>
        <w:pageBreakBefore w:val="0"/>
        <w:widowControl w:val="0"/>
        <w:kinsoku/>
        <w:wordWrap/>
        <w:overflowPunct/>
        <w:topLinePunct w:val="0"/>
        <w:autoSpaceDE/>
        <w:autoSpaceDN/>
        <w:bidi w:val="0"/>
        <w:adjustRightInd/>
        <w:snapToGrid/>
        <w:spacing w:line="320" w:lineRule="exact"/>
        <w:ind w:right="0" w:rightChars="0" w:firstLine="420" w:firstLineChars="200"/>
        <w:jc w:val="left"/>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rPr>
        <w:t>生产厂家为用户提供产品终身技术服务。自签字验收之日起，厂家提供1年的免费现场保修服务，保证良好正常使用产品，</w:t>
      </w:r>
      <w:r>
        <w:rPr>
          <w:rFonts w:hint="eastAsia" w:ascii="宋体" w:hAnsi="宋体" w:eastAsia="宋体" w:cs="宋体"/>
          <w:b/>
          <w:bCs/>
          <w:color w:val="auto"/>
          <w:kern w:val="0"/>
          <w:sz w:val="21"/>
          <w:szCs w:val="21"/>
          <w:lang w:val="de-DE"/>
        </w:rPr>
        <w:t>在接到用户维修请求后，应能在2小时内做出快速响应，并在2个工作日内到达现场。</w:t>
      </w:r>
    </w:p>
    <w:p w14:paraId="743930B2">
      <w:pPr>
        <w:pageBreakBefore w:val="0"/>
        <w:kinsoku/>
        <w:wordWrap/>
        <w:overflowPunct/>
        <w:topLinePunct w:val="0"/>
        <w:bidi w:val="0"/>
        <w:snapToGrid/>
        <w:spacing w:line="320" w:lineRule="exact"/>
        <w:ind w:right="0" w:rightChars="0"/>
        <w:textAlignment w:val="auto"/>
        <w:rPr>
          <w:rFonts w:hint="eastAsia" w:ascii="宋体" w:hAnsi="宋体" w:eastAsia="宋体" w:cs="宋体"/>
          <w:color w:val="auto"/>
          <w:sz w:val="21"/>
          <w:szCs w:val="21"/>
        </w:rPr>
      </w:pPr>
    </w:p>
    <w:p w14:paraId="6ED83F47">
      <w:pPr>
        <w:pStyle w:val="4"/>
        <w:pageBreakBefore w:val="0"/>
        <w:numPr>
          <w:ilvl w:val="0"/>
          <w:numId w:val="0"/>
        </w:numPr>
        <w:kinsoku/>
        <w:wordWrap/>
        <w:overflowPunct/>
        <w:topLinePunct w:val="0"/>
        <w:bidi w:val="0"/>
        <w:snapToGrid/>
        <w:spacing w:beforeLines="0" w:line="320" w:lineRule="exact"/>
        <w:ind w:right="0" w:rightChars="0"/>
        <w:jc w:val="left"/>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（二十）多光谱小型无人机</w:t>
      </w:r>
    </w:p>
    <w:p w14:paraId="0510C250">
      <w:pPr>
        <w:pageBreakBefore w:val="0"/>
        <w:kinsoku/>
        <w:wordWrap/>
        <w:overflowPunct/>
        <w:topLinePunct w:val="0"/>
        <w:autoSpaceDE w:val="0"/>
        <w:autoSpaceDN w:val="0"/>
        <w:bidi w:val="0"/>
        <w:adjustRightInd w:val="0"/>
        <w:snapToGrid/>
        <w:spacing w:line="320" w:lineRule="exact"/>
        <w:ind w:right="0" w:rightChars="0" w:firstLine="422" w:firstLineChars="200"/>
        <w:jc w:val="left"/>
        <w:textAlignment w:val="auto"/>
        <w:rPr>
          <w:rFonts w:hint="eastAsia" w:ascii="宋体" w:hAnsi="宋体" w:eastAsia="宋体" w:cs="宋体"/>
          <w:color w:val="auto"/>
          <w:kern w:val="0"/>
          <w:sz w:val="21"/>
          <w:szCs w:val="21"/>
          <w:lang w:bidi="ar"/>
        </w:rPr>
      </w:pPr>
      <w:r>
        <w:rPr>
          <w:rFonts w:hint="eastAsia" w:ascii="宋体" w:hAnsi="宋体" w:eastAsia="宋体" w:cs="宋体"/>
          <w:b/>
          <w:bCs/>
          <w:color w:val="auto"/>
          <w:kern w:val="0"/>
          <w:sz w:val="21"/>
          <w:szCs w:val="21"/>
          <w:lang w:bidi="ar"/>
        </w:rPr>
        <w:t>1</w:t>
      </w:r>
      <w:r>
        <w:rPr>
          <w:rFonts w:hint="eastAsia" w:ascii="宋体" w:hAnsi="宋体" w:eastAsia="宋体" w:cs="宋体"/>
          <w:b/>
          <w:bCs/>
          <w:color w:val="auto"/>
          <w:kern w:val="0"/>
          <w:sz w:val="21"/>
          <w:szCs w:val="21"/>
          <w:lang w:eastAsia="zh-CN" w:bidi="ar"/>
        </w:rPr>
        <w:t>.</w:t>
      </w:r>
      <w:r>
        <w:rPr>
          <w:rFonts w:hint="eastAsia" w:ascii="宋体" w:hAnsi="宋体" w:eastAsia="宋体" w:cs="宋体"/>
          <w:b/>
          <w:bCs/>
          <w:color w:val="auto"/>
          <w:kern w:val="0"/>
          <w:sz w:val="21"/>
          <w:szCs w:val="21"/>
          <w:lang w:bidi="ar"/>
        </w:rPr>
        <w:t>无人机参数要求</w:t>
      </w:r>
    </w:p>
    <w:p w14:paraId="319A7301">
      <w:pPr>
        <w:pageBreakBefore w:val="0"/>
        <w:kinsoku/>
        <w:wordWrap/>
        <w:overflowPunct/>
        <w:topLinePunct w:val="0"/>
        <w:bidi w:val="0"/>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1.1无人机主机</w:t>
      </w:r>
    </w:p>
    <w:p w14:paraId="27397D14">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1.1.1裸机重量（带配件）≤955g</w:t>
      </w:r>
    </w:p>
    <w:p w14:paraId="3FAFD4B4">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1.1.2最大起飞重量≤1050g</w:t>
      </w:r>
    </w:p>
    <w:p w14:paraId="2E66741E">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1.1.3尺寸折叠（不带桨）：≤长 225毫米，宽 100 毫米，高 125毫米</w:t>
      </w:r>
    </w:p>
    <w:p w14:paraId="62ABB6B8">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1.1.4轴距对角线：≤390 毫米（提供国家认可的权威机构相关检测报告）</w:t>
      </w:r>
    </w:p>
    <w:p w14:paraId="005B9EED">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1.1.5最大抗风速度不低于12 米/秒 </w:t>
      </w:r>
    </w:p>
    <w:p w14:paraId="618FE471">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1.1.6最大起飞海拔高度不低于6000 米（空载飞行）</w:t>
      </w:r>
    </w:p>
    <w:p w14:paraId="7EED0076">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1.1.7最长飞行时间（无风环境）不低于</w:t>
      </w:r>
      <w:r>
        <w:rPr>
          <w:rFonts w:hint="eastAsia" w:ascii="宋体" w:hAnsi="宋体" w:eastAsia="宋体" w:cs="宋体"/>
          <w:color w:val="auto"/>
          <w:sz w:val="21"/>
          <w:szCs w:val="21"/>
          <w:lang w:val="en-US" w:eastAsia="zh-CN"/>
        </w:rPr>
        <w:t>40</w:t>
      </w:r>
      <w:r>
        <w:rPr>
          <w:rFonts w:hint="eastAsia" w:ascii="宋体" w:hAnsi="宋体" w:eastAsia="宋体" w:cs="宋体"/>
          <w:color w:val="auto"/>
          <w:sz w:val="21"/>
          <w:szCs w:val="21"/>
        </w:rPr>
        <w:t>分钟 </w:t>
      </w:r>
    </w:p>
    <w:p w14:paraId="09B98757">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1.1.8最大信号有效距离（无干扰、无遮挡）≥15km</w:t>
      </w:r>
    </w:p>
    <w:p w14:paraId="24F54D98">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1.1.9 GNSS定位悬停精度：垂直≤0.5 m，水平≤0.5 m</w:t>
      </w:r>
    </w:p>
    <w:p w14:paraId="70EC2907">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1.1.10视觉定位悬停精度：垂直≤0.1 m，水平≤0.1 m</w:t>
      </w:r>
    </w:p>
    <w:p w14:paraId="2F34FAAD">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1.1.11全向感知系统：飞行器的前、后、左、右、上、下均具备视觉或红外避障传感器，能够在探测到障碍物时在App上进行提醒，并自动减速刹车（提供国家认可的权威机构相关检测报告）</w:t>
      </w:r>
    </w:p>
    <w:p w14:paraId="3C780832">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1.1.12工作温度-10°C 至 40°C</w:t>
      </w:r>
    </w:p>
    <w:p w14:paraId="47867110">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1.1.13具备低电量自动返航功能</w:t>
      </w:r>
    </w:p>
    <w:p w14:paraId="7ACB0BFD">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1.1.14具备信号丢失自动返航功能</w:t>
      </w:r>
    </w:p>
    <w:p w14:paraId="5C638449">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1.1.15光强传感器，无人机内置</w:t>
      </w:r>
    </w:p>
    <w:p w14:paraId="158897DF">
      <w:pPr>
        <w:pageBreakBefore w:val="0"/>
        <w:kinsoku/>
        <w:wordWrap/>
        <w:overflowPunct/>
        <w:topLinePunct w:val="0"/>
        <w:bidi w:val="0"/>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1.2可见光相机</w:t>
      </w:r>
    </w:p>
    <w:p w14:paraId="4A7CEDBD">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1.2.1影像传感器4/3 CMOS，有效像素不低于2000 万</w:t>
      </w:r>
    </w:p>
    <w:p w14:paraId="6F708A67">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1.2.2等效焦距：不低于24 毫米</w:t>
      </w:r>
    </w:p>
    <w:p w14:paraId="2C2E7AA0">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1.2.3对焦点：1 米至无穷远</w:t>
      </w:r>
    </w:p>
    <w:p w14:paraId="3B317FB1">
      <w:pPr>
        <w:pageBreakBefore w:val="0"/>
        <w:kinsoku/>
        <w:wordWrap/>
        <w:overflowPunct/>
        <w:topLinePunct w:val="0"/>
        <w:bidi w:val="0"/>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1.3快门速度</w:t>
      </w:r>
    </w:p>
    <w:p w14:paraId="6AED9803">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1.3.1电子快门：8 秒至 1/8000 秒</w:t>
      </w:r>
    </w:p>
    <w:p w14:paraId="04F8BDAC">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1.3.2机械快门：8 秒至 1/2000 秒</w:t>
      </w:r>
    </w:p>
    <w:p w14:paraId="185FAF63">
      <w:pPr>
        <w:pageBreakBefore w:val="0"/>
        <w:kinsoku/>
        <w:wordWrap/>
        <w:overflowPunct/>
        <w:topLinePunct w:val="0"/>
        <w:bidi w:val="0"/>
        <w:snapToGrid/>
        <w:spacing w:line="320" w:lineRule="exact"/>
        <w:ind w:right="0" w:righ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1.3.3最大照片尺寸不低于5280×3956</w:t>
      </w:r>
    </w:p>
    <w:p w14:paraId="69973BDA">
      <w:pPr>
        <w:pageBreakBefore w:val="0"/>
        <w:kinsoku/>
        <w:wordWrap/>
        <w:overflowPunct/>
        <w:topLinePunct w:val="0"/>
        <w:bidi w:val="0"/>
        <w:snapToGrid/>
        <w:spacing w:line="320" w:lineRule="exact"/>
        <w:ind w:right="0" w:rightChars="0"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1.4多光谱相机</w:t>
      </w:r>
    </w:p>
    <w:p w14:paraId="7A77DF02">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1.4.1影像传感器1/2.8 英寸 CMOS，有效像素不低于500万</w:t>
      </w:r>
    </w:p>
    <w:p w14:paraId="60E5BE4B">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1.4.2等效焦距：25 mm</w:t>
      </w:r>
    </w:p>
    <w:p w14:paraId="1F87F7E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1.4.3光圈：f/2.0</w:t>
      </w:r>
    </w:p>
    <w:p w14:paraId="37DFB5E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1.4.4对焦: 定焦</w:t>
      </w:r>
    </w:p>
    <w:p w14:paraId="355E16DA">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1.4.5多光谱相机波段：绿(G)：560nm± 16nm；红(R): 650nm± 16nm；红边(RE): 730nm± 16nm；近红外(NIR): 860nm± 26nm；</w:t>
      </w:r>
    </w:p>
    <w:p w14:paraId="04001AAB">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1.4.6 Gain范围：1x-32x</w:t>
      </w:r>
    </w:p>
    <w:p w14:paraId="2257BEF2">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1.4.7电子快门: 1/30～1/12800 秒</w:t>
      </w:r>
    </w:p>
    <w:p w14:paraId="0B4D3715">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1.4.8最大照片尺寸≤2592*1944</w:t>
      </w:r>
    </w:p>
    <w:p w14:paraId="030D2D16">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1.4.9照片格式TIFF</w:t>
      </w:r>
    </w:p>
    <w:p w14:paraId="15B0CF1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1.4.10照片拍摄模式</w:t>
      </w:r>
    </w:p>
    <w:p w14:paraId="163AFD6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1.4.11单张拍摄：500万像素</w:t>
      </w:r>
    </w:p>
    <w:p w14:paraId="00F5601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1.4.12定时拍摄：500万像素</w:t>
      </w:r>
    </w:p>
    <w:p w14:paraId="7E0FBF52">
      <w:pPr>
        <w:pageBreakBefore w:val="0"/>
        <w:kinsoku/>
        <w:wordWrap/>
        <w:overflowPunct/>
        <w:topLinePunct w:val="0"/>
        <w:bidi w:val="0"/>
        <w:spacing w:line="320" w:lineRule="exact"/>
        <w:ind w:firstLine="422" w:firstLineChars="200"/>
        <w:rPr>
          <w:rFonts w:ascii="宋体" w:hAnsi="宋体" w:eastAsia="宋体" w:cs="宋体"/>
          <w:b/>
          <w:bCs/>
          <w:color w:val="auto"/>
          <w:sz w:val="21"/>
          <w:szCs w:val="21"/>
        </w:rPr>
      </w:pPr>
      <w:r>
        <w:rPr>
          <w:rFonts w:hint="eastAsia" w:ascii="宋体" w:hAnsi="宋体" w:eastAsia="宋体" w:cs="宋体"/>
          <w:b/>
          <w:bCs/>
          <w:color w:val="auto"/>
          <w:sz w:val="21"/>
          <w:szCs w:val="21"/>
        </w:rPr>
        <w:t>1.5遥控器</w:t>
      </w:r>
    </w:p>
    <w:p w14:paraId="3CDE0810">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1.5.1采用2个发射天线，4个接收天线</w:t>
      </w:r>
    </w:p>
    <w:p w14:paraId="6009950D">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支持2.4G、5.8G图传</w:t>
      </w:r>
    </w:p>
    <w:p w14:paraId="17152E3E">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具备遥控器和显示屏一体化设计</w:t>
      </w:r>
    </w:p>
    <w:p w14:paraId="43731FE3">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地面站显示器应采用触摸屏，屏幕显示分辨率≥1920*1080p</w:t>
      </w:r>
    </w:p>
    <w:p w14:paraId="4D45B7FD">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屏幕尺寸不低于5.5英寸</w:t>
      </w:r>
    </w:p>
    <w:p w14:paraId="09A5A6A7">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显示器亮度≥1000cd/m2</w:t>
      </w:r>
    </w:p>
    <w:p w14:paraId="48673BAA">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支持4G dongle</w:t>
      </w:r>
    </w:p>
    <w:p w14:paraId="51261509">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重量小于700g</w:t>
      </w:r>
    </w:p>
    <w:p w14:paraId="3DE0ED2B">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1.5.</w:t>
      </w: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地面站具备Mini-HDMI视频输出接口、SD卡槽、USB接口</w:t>
      </w:r>
    </w:p>
    <w:p w14:paraId="25A69648">
      <w:pPr>
        <w:pageBreakBefore w:val="0"/>
        <w:kinsoku/>
        <w:wordWrap/>
        <w:overflowPunct/>
        <w:topLinePunct w:val="0"/>
        <w:bidi w:val="0"/>
        <w:spacing w:line="320" w:lineRule="exact"/>
        <w:ind w:firstLine="422" w:firstLineChars="200"/>
        <w:rPr>
          <w:rFonts w:ascii="宋体" w:hAnsi="宋体" w:eastAsia="宋体" w:cs="宋体"/>
          <w:b/>
          <w:bCs/>
          <w:color w:val="auto"/>
          <w:sz w:val="21"/>
          <w:szCs w:val="21"/>
        </w:rPr>
      </w:pPr>
      <w:r>
        <w:rPr>
          <w:rFonts w:hint="eastAsia" w:ascii="宋体" w:hAnsi="宋体" w:eastAsia="宋体" w:cs="宋体"/>
          <w:b/>
          <w:bCs/>
          <w:color w:val="auto"/>
          <w:sz w:val="21"/>
          <w:szCs w:val="21"/>
        </w:rPr>
        <w:t>1.6智能飞行电池</w:t>
      </w:r>
    </w:p>
    <w:p w14:paraId="29A00BB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1.6.1容量≤5000 毫安时</w:t>
      </w:r>
    </w:p>
    <w:p w14:paraId="385A74F4">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1.6.2标称电压≤16 伏</w:t>
      </w:r>
    </w:p>
    <w:p w14:paraId="0A47524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1.6.3充电限制电压17.6 伏</w:t>
      </w:r>
    </w:p>
    <w:p w14:paraId="413D718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1.6.4能量≤80 瓦时</w:t>
      </w:r>
    </w:p>
    <w:p w14:paraId="3AF244D6">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1.6.5重量≤340 克</w:t>
      </w:r>
    </w:p>
    <w:p w14:paraId="46B87EA4">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1.6.6充电环境温度5℃ 至 40℃</w:t>
      </w:r>
    </w:p>
    <w:p w14:paraId="4156866D">
      <w:pPr>
        <w:pageBreakBefore w:val="0"/>
        <w:kinsoku/>
        <w:wordWrap/>
        <w:overflowPunct/>
        <w:topLinePunct w:val="0"/>
        <w:bidi w:val="0"/>
        <w:spacing w:line="320" w:lineRule="exact"/>
        <w:ind w:firstLine="422" w:firstLineChars="200"/>
        <w:rPr>
          <w:rFonts w:ascii="宋体" w:hAnsi="宋体" w:eastAsia="宋体" w:cs="宋体"/>
          <w:b/>
          <w:bCs/>
          <w:color w:val="auto"/>
          <w:sz w:val="21"/>
          <w:szCs w:val="21"/>
        </w:rPr>
      </w:pPr>
      <w:r>
        <w:rPr>
          <w:rFonts w:hint="eastAsia" w:ascii="宋体" w:hAnsi="宋体" w:eastAsia="宋体" w:cs="宋体"/>
          <w:b/>
          <w:bCs/>
          <w:color w:val="auto"/>
          <w:sz w:val="21"/>
          <w:szCs w:val="21"/>
        </w:rPr>
        <w:t>1.7充电管家</w:t>
      </w:r>
    </w:p>
    <w:p w14:paraId="394E4F7B">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1.7.1输入USB-C：5V至 20V，5.0 A</w:t>
      </w:r>
    </w:p>
    <w:p w14:paraId="7D5137C7">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1.7.2输出电池接口：12V至 17.6V，8.0A</w:t>
      </w:r>
    </w:p>
    <w:p w14:paraId="3192B9CB">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1.7.3额定功率≤100 W</w:t>
      </w:r>
    </w:p>
    <w:p w14:paraId="0506857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1.7.4充电方式3 块电池轮充</w:t>
      </w:r>
    </w:p>
    <w:p w14:paraId="421EDB9F">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1.7.5充电温度范围5℃ 至 40℃</w:t>
      </w:r>
    </w:p>
    <w:p w14:paraId="3D27674F">
      <w:pPr>
        <w:pageBreakBefore w:val="0"/>
        <w:kinsoku/>
        <w:wordWrap/>
        <w:overflowPunct/>
        <w:topLinePunct w:val="0"/>
        <w:bidi w:val="0"/>
        <w:spacing w:line="320" w:lineRule="exact"/>
        <w:ind w:firstLine="422" w:firstLineChars="200"/>
        <w:rPr>
          <w:rFonts w:ascii="宋体" w:hAnsi="宋体" w:eastAsia="宋体" w:cs="宋体"/>
          <w:b/>
          <w:bCs/>
          <w:color w:val="auto"/>
          <w:sz w:val="21"/>
          <w:szCs w:val="21"/>
        </w:rPr>
      </w:pPr>
      <w:r>
        <w:rPr>
          <w:rFonts w:hint="eastAsia" w:ascii="宋体" w:hAnsi="宋体" w:eastAsia="宋体" w:cs="宋体"/>
          <w:b/>
          <w:bCs/>
          <w:color w:val="auto"/>
          <w:sz w:val="21"/>
          <w:szCs w:val="21"/>
        </w:rPr>
        <w:t>1.8充电器</w:t>
      </w:r>
    </w:p>
    <w:p w14:paraId="2253F95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1.8.1输入100V至 240V（交流电），50 Hz至 60Hz，2.5A</w:t>
      </w:r>
    </w:p>
    <w:p w14:paraId="400FF2F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1.8.2输出功率≤100W</w:t>
      </w:r>
    </w:p>
    <w:p w14:paraId="0C453AF5">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1.8.3输出最大输出功率 ≤100W（总计）</w:t>
      </w:r>
    </w:p>
    <w:p w14:paraId="1AE8DF55">
      <w:pPr>
        <w:pageBreakBefore w:val="0"/>
        <w:kinsoku/>
        <w:wordWrap/>
        <w:overflowPunct/>
        <w:topLinePunct w:val="0"/>
        <w:bidi w:val="0"/>
        <w:spacing w:line="320" w:lineRule="exact"/>
        <w:ind w:firstLine="422" w:firstLineChars="200"/>
        <w:rPr>
          <w:rFonts w:ascii="宋体" w:hAnsi="宋体" w:eastAsia="宋体" w:cs="宋体"/>
          <w:color w:val="auto"/>
          <w:sz w:val="21"/>
          <w:szCs w:val="21"/>
        </w:rPr>
      </w:pPr>
      <w:r>
        <w:rPr>
          <w:rFonts w:hint="eastAsia" w:ascii="宋体" w:hAnsi="宋体" w:eastAsia="宋体" w:cs="宋体"/>
          <w:b/>
          <w:bCs/>
          <w:color w:val="auto"/>
          <w:sz w:val="21"/>
          <w:szCs w:val="21"/>
        </w:rPr>
        <w:t>1.9 RTK模块</w:t>
      </w:r>
    </w:p>
    <w:p w14:paraId="539B9C23">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1.9.1</w:t>
      </w:r>
      <w:r>
        <w:rPr>
          <w:rFonts w:ascii="宋体" w:hAnsi="宋体" w:eastAsia="宋体" w:cs="宋体"/>
          <w:color w:val="auto"/>
          <w:sz w:val="21"/>
          <w:szCs w:val="21"/>
        </w:rPr>
        <w:t>支持RTK厘米级定位，RTK可拆卸</w:t>
      </w:r>
    </w:p>
    <w:p w14:paraId="002225D4">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 xml:space="preserve">1.9.2 </w:t>
      </w:r>
      <w:r>
        <w:rPr>
          <w:rFonts w:ascii="宋体" w:hAnsi="宋体" w:eastAsia="宋体" w:cs="宋体"/>
          <w:color w:val="auto"/>
          <w:sz w:val="21"/>
          <w:szCs w:val="21"/>
        </w:rPr>
        <w:t>RTK重量小于30g</w:t>
      </w:r>
    </w:p>
    <w:p w14:paraId="48BAB915">
      <w:pPr>
        <w:pageBreakBefore w:val="0"/>
        <w:kinsoku/>
        <w:wordWrap/>
        <w:overflowPunct/>
        <w:topLinePunct w:val="0"/>
        <w:bidi w:val="0"/>
        <w:spacing w:line="320" w:lineRule="exact"/>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1.9.3</w:t>
      </w:r>
      <w:r>
        <w:rPr>
          <w:rFonts w:ascii="宋体" w:hAnsi="宋体" w:eastAsia="宋体" w:cs="宋体"/>
          <w:color w:val="auto"/>
          <w:sz w:val="21"/>
          <w:szCs w:val="21"/>
        </w:rPr>
        <w:t>在RTK 固定解时，水平精度1cm+1ppm，高程精度1.5cm+1ppm</w:t>
      </w:r>
    </w:p>
    <w:p w14:paraId="52A8BC2C">
      <w:pPr>
        <w:pageBreakBefore w:val="0"/>
        <w:kinsoku/>
        <w:wordWrap/>
        <w:overflowPunct/>
        <w:topLinePunct w:val="0"/>
        <w:bidi w:val="0"/>
        <w:spacing w:line="320" w:lineRule="exact"/>
        <w:ind w:firstLine="422" w:firstLineChars="200"/>
        <w:rPr>
          <w:rFonts w:ascii="宋体" w:hAnsi="宋体" w:eastAsia="宋体" w:cs="宋体"/>
          <w:b/>
          <w:bCs/>
          <w:color w:val="auto"/>
          <w:sz w:val="21"/>
          <w:szCs w:val="21"/>
        </w:rPr>
      </w:pPr>
      <w:r>
        <w:rPr>
          <w:rFonts w:hint="eastAsia" w:ascii="宋体" w:hAnsi="宋体" w:eastAsia="宋体" w:cs="宋体"/>
          <w:b/>
          <w:bCs/>
          <w:color w:val="auto"/>
          <w:sz w:val="21"/>
          <w:szCs w:val="21"/>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配置要求</w:t>
      </w:r>
    </w:p>
    <w:p w14:paraId="108F706A">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2.1无人机（含可见光相机、多光谱相机））1台</w:t>
      </w:r>
    </w:p>
    <w:p w14:paraId="56B0D994">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2.2遥控器1台</w:t>
      </w:r>
    </w:p>
    <w:p w14:paraId="77ED4DB4">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2.3智能飞行电池4块</w:t>
      </w:r>
    </w:p>
    <w:p w14:paraId="7DD30A7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2.4充电管家1个</w:t>
      </w:r>
    </w:p>
    <w:p w14:paraId="3FBE62E2">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2.5充电器1个</w:t>
      </w:r>
    </w:p>
    <w:p w14:paraId="1DBF8E80">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2.6 RTK模块1台</w:t>
      </w:r>
    </w:p>
    <w:p w14:paraId="68ACABFF">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2.7保险1份</w:t>
      </w:r>
    </w:p>
    <w:p w14:paraId="58A6F45D">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2.8培训名额2个</w:t>
      </w:r>
    </w:p>
    <w:p w14:paraId="7A66837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 xml:space="preserve">2.9 CAD三维3D建模绘图专用移动图形工作站（P16v RTX2000Ada绘图显卡 i7-13800H 32GB内存 1TB SSD）1套 </w:t>
      </w:r>
    </w:p>
    <w:p w14:paraId="401116F0">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2.10智图测绘版1台</w:t>
      </w:r>
    </w:p>
    <w:p w14:paraId="5590B49B">
      <w:pPr>
        <w:keepNext w:val="0"/>
        <w:keepLines w:val="0"/>
        <w:pageBreakBefore w:val="0"/>
        <w:widowControl w:val="0"/>
        <w:kinsoku/>
        <w:wordWrap/>
        <w:overflowPunct/>
        <w:topLinePunct w:val="0"/>
        <w:autoSpaceDE/>
        <w:autoSpaceDN/>
        <w:bidi w:val="0"/>
        <w:adjustRightInd/>
        <w:snapToGrid/>
        <w:spacing w:line="320" w:lineRule="exact"/>
        <w:ind w:firstLine="422"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售后服务</w:t>
      </w:r>
    </w:p>
    <w:p w14:paraId="6E05C4DD">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宋体" w:hAnsi="宋体" w:eastAsia="宋体" w:cs="宋体"/>
          <w:b/>
          <w:bCs/>
          <w:color w:val="auto"/>
          <w:sz w:val="24"/>
        </w:rPr>
      </w:pPr>
      <w:r>
        <w:rPr>
          <w:rFonts w:hint="eastAsia" w:ascii="宋体" w:hAnsi="宋体" w:eastAsia="宋体" w:cs="宋体"/>
          <w:color w:val="auto"/>
          <w:sz w:val="21"/>
          <w:szCs w:val="21"/>
          <w:lang w:val="en-US" w:eastAsia="zh-CN"/>
        </w:rPr>
        <w:t>（1）质保期为壹年。保修期间，提供免费上门维修、更换非人为原因损坏零部件及技术咨询服务。</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（2）在保修期结束后，保证10年内提供备件、配件及试剂供应。</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（3）保证产品为最新原厂设备。</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（4）</w:t>
      </w:r>
      <w:r>
        <w:rPr>
          <w:rFonts w:hint="eastAsia" w:ascii="宋体" w:hAnsi="宋体" w:eastAsia="宋体" w:cs="宋体"/>
          <w:b/>
          <w:bCs/>
          <w:color w:val="auto"/>
          <w:sz w:val="21"/>
          <w:szCs w:val="21"/>
          <w:lang w:val="en-US" w:eastAsia="zh-CN"/>
        </w:rPr>
        <w:t>在接到用户维修请求后，应能在2小时内做出快速响应，并在2个工作日内到达现场。</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（5）为用户提供仪器的基本原理、操作、日常维护及基础分析仪器理论课程，并为用户提供上机培训</w:t>
      </w:r>
      <w:r>
        <w:rPr>
          <w:rFonts w:hint="eastAsia" w:ascii="宋体" w:hAnsi="宋体" w:eastAsia="宋体" w:cs="宋体"/>
          <w:color w:val="auto"/>
          <w:sz w:val="21"/>
          <w:szCs w:val="21"/>
        </w:rPr>
        <w:t>。</w:t>
      </w:r>
    </w:p>
    <w:p w14:paraId="0F8BA57A">
      <w:pPr>
        <w:pStyle w:val="4"/>
        <w:pageBreakBefore w:val="0"/>
        <w:numPr>
          <w:ilvl w:val="0"/>
          <w:numId w:val="0"/>
        </w:numPr>
        <w:kinsoku/>
        <w:wordWrap/>
        <w:overflowPunct/>
        <w:topLinePunct w:val="0"/>
        <w:bidi w:val="0"/>
        <w:spacing w:line="320" w:lineRule="exact"/>
        <w:ind w:right="-239" w:rightChars="-114"/>
        <w:jc w:val="both"/>
        <w:rPr>
          <w:rFonts w:hint="eastAsia" w:ascii="宋体" w:hAnsi="宋体" w:eastAsia="宋体" w:cs="宋体"/>
          <w:b/>
          <w:bCs/>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二十一</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台式</w:t>
      </w:r>
      <w:r>
        <w:rPr>
          <w:rFonts w:hint="eastAsia" w:ascii="宋体" w:hAnsi="宋体" w:eastAsia="宋体" w:cs="宋体"/>
          <w:color w:val="auto"/>
          <w:sz w:val="21"/>
          <w:szCs w:val="21"/>
          <w:lang w:eastAsia="zh-CN"/>
        </w:rPr>
        <w:t>恒温振荡器</w:t>
      </w:r>
    </w:p>
    <w:p w14:paraId="3FA17FA0">
      <w:pPr>
        <w:pageBreakBefore w:val="0"/>
        <w:kinsoku/>
        <w:wordWrap/>
        <w:overflowPunct/>
        <w:topLinePunct w:val="0"/>
        <w:bidi w:val="0"/>
        <w:spacing w:line="320" w:lineRule="exact"/>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仪器性能要求</w:t>
      </w:r>
    </w:p>
    <w:p w14:paraId="1FED99FA">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1.1微处理器执行的自动PID控制 使温度、速度迅速达到设定值，并确保运行过程中这些参数的稳定性。</w:t>
      </w:r>
    </w:p>
    <w:p w14:paraId="68F5FA05">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1.2高亮液晶显示 清晰反映各设定参数和运行状态。</w:t>
      </w:r>
    </w:p>
    <w:p w14:paraId="1025C3D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1.3友好界面操作简便  控制面板直观明了，菜单选择操作便捷。</w:t>
      </w:r>
    </w:p>
    <w:p w14:paraId="3F1D19A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1.4多段编程变频控制，运行参数六段编程，可对实验过程实现循环、反复、定值、梯度等多种变频模式的恒温振荡培养。</w:t>
      </w:r>
    </w:p>
    <w:p w14:paraId="24B74EE5">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1.5超长定时999小时 显示剩余时间，定时完毕声光报警。</w:t>
      </w:r>
    </w:p>
    <w:p w14:paraId="628CC31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1.6自动调整制冷系数 保证运行温度不受环境温度等变化的影响。</w:t>
      </w:r>
    </w:p>
    <w:p w14:paraId="058FCC5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1.7来电恢复继续运行 不受电源间断影响，重新来电后可按自动原程序恢复运行。</w:t>
      </w:r>
    </w:p>
    <w:p w14:paraId="1620B620">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1.8轻缓启动自动加速 慢启动技术确保仪器平稳加速，保证实验样品不飞溅溢出。</w:t>
      </w:r>
    </w:p>
    <w:p w14:paraId="1CE21B3A">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1.9设有开门自停装置  可快捷开门操作，保护操作者安全免受意外伤害。</w:t>
      </w:r>
    </w:p>
    <w:p w14:paraId="5012FC75">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1.10镁铝合金材质托盘，表面经电化学处理，材料耐腐蚀不生锈，固定夹具的定位孔灵活设计，螺纹打孔，更换夹具毋需拆卸托盘，方便快捷。</w:t>
      </w:r>
    </w:p>
    <w:p w14:paraId="61A921F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1.11新型直流无刷电机驱动 噪音低、功效高、扭矩大、转速稳、免保养。</w:t>
      </w:r>
    </w:p>
    <w:p w14:paraId="3B83002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1.12横流风机带动的空气循环 风压强、交换速率快，噪音低、寿命长。</w:t>
      </w:r>
    </w:p>
    <w:p w14:paraId="0F4E849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1.13自动除霜功能  根据设定温度，自动调节除霜，无需人工操作，除霜时温度飘升不超过1.5℃。</w:t>
      </w:r>
    </w:p>
    <w:p w14:paraId="6975D550">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1.14多项报警、保护功能 超温报警、保护，制冷超荷保护，传感器故障报警、安全门锁保护，漏电安全保护。</w:t>
      </w:r>
    </w:p>
    <w:p w14:paraId="03DE906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1.15故障自诊断系统 如仪器设备出现故障，液晶面板显示故障代码，及时准确反馈故障信息，提供售后服务快速反应判断依据。</w:t>
      </w:r>
    </w:p>
    <w:p w14:paraId="1FE00C97">
      <w:pPr>
        <w:pageBreakBefore w:val="0"/>
        <w:kinsoku/>
        <w:wordWrap/>
        <w:overflowPunct/>
        <w:topLinePunct w:val="0"/>
        <w:bidi w:val="0"/>
        <w:spacing w:line="320" w:lineRule="exact"/>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2</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技术参数要求：</w:t>
      </w:r>
    </w:p>
    <w:p w14:paraId="01698D5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2.1旋转频率：0rpm，30～400rpm</w:t>
      </w:r>
    </w:p>
    <w:p w14:paraId="3AED77ED">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2.2频率精度:±1rpm</w:t>
      </w:r>
    </w:p>
    <w:p w14:paraId="583FCAC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2.3摆振幅度:Φ26mm</w:t>
      </w:r>
    </w:p>
    <w:p w14:paraId="6A6765D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2.4最大容量:</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50mlx42/100mlx25/150mlx24/200mlx20/250mlx20/500mlx12/1000mlx8</w:t>
      </w:r>
    </w:p>
    <w:p w14:paraId="4F1C15D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2.5瓶夹:200ml×10，500ml×5</w:t>
      </w:r>
    </w:p>
    <w:p w14:paraId="28A7AF87">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2.6托盘尺寸:≥450×400mm</w:t>
      </w:r>
    </w:p>
    <w:p w14:paraId="32074A7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2.7托盘数量:1块</w:t>
      </w:r>
    </w:p>
    <w:p w14:paraId="0FC05350">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2.8温控范围:环境温度-15℃～60℃（最低4℃）</w:t>
      </w:r>
    </w:p>
    <w:p w14:paraId="779F0924">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2.9温控精度:0.1℃</w:t>
      </w:r>
    </w:p>
    <w:p w14:paraId="67E32EF7">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★2.10温度均匀度:±0.5℃（@37℃）</w:t>
      </w:r>
    </w:p>
    <w:p w14:paraId="66671B10">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2.11自动除霜:有</w:t>
      </w:r>
      <w:r>
        <w:rPr>
          <w:rFonts w:hint="eastAsia" w:ascii="宋体" w:hAnsi="宋体" w:eastAsia="宋体" w:cs="宋体"/>
          <w:color w:val="auto"/>
          <w:sz w:val="21"/>
          <w:szCs w:val="21"/>
        </w:rPr>
        <w:tab/>
      </w:r>
    </w:p>
    <w:p w14:paraId="53C40D3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2.12数显方式:LCD</w:t>
      </w:r>
    </w:p>
    <w:p w14:paraId="552309E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2.13定时范围:0～999小时</w:t>
      </w:r>
    </w:p>
    <w:p w14:paraId="4F5EA4CF">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2.14外形尺寸:≤700×650×550mm</w:t>
      </w:r>
    </w:p>
    <w:p w14:paraId="1AE61044">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2.15容积:≥500×460×350mm</w:t>
      </w:r>
    </w:p>
    <w:p w14:paraId="19F833C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2.16功率:＜700W</w:t>
      </w:r>
    </w:p>
    <w:p w14:paraId="65491E55">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2.17电源:AC220V±22V / 50Hz±1Hz</w:t>
      </w:r>
    </w:p>
    <w:p w14:paraId="10722D8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2.18重量:≤110kg</w:t>
      </w:r>
    </w:p>
    <w:p w14:paraId="3273B26F">
      <w:pPr>
        <w:pageBreakBefore w:val="0"/>
        <w:kinsoku/>
        <w:wordWrap/>
        <w:overflowPunct/>
        <w:topLinePunct w:val="0"/>
        <w:bidi w:val="0"/>
        <w:spacing w:line="320" w:lineRule="exact"/>
        <w:ind w:firstLine="422" w:firstLineChars="200"/>
        <w:rPr>
          <w:rFonts w:hint="eastAsia" w:ascii="宋体" w:hAnsi="宋体" w:eastAsia="宋体" w:cs="宋体"/>
          <w:color w:val="auto"/>
          <w:sz w:val="21"/>
          <w:szCs w:val="21"/>
        </w:rPr>
      </w:pPr>
      <w:r>
        <w:rPr>
          <w:rFonts w:hint="eastAsia" w:ascii="宋体" w:hAnsi="宋体" w:eastAsia="宋体" w:cs="宋体"/>
          <w:b/>
          <w:bCs/>
          <w:color w:val="auto"/>
          <w:sz w:val="21"/>
          <w:szCs w:val="21"/>
        </w:rPr>
        <w:t>3</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配置要求：</w:t>
      </w:r>
      <w:r>
        <w:rPr>
          <w:rFonts w:hint="eastAsia" w:ascii="宋体" w:hAnsi="宋体" w:eastAsia="宋体" w:cs="宋体"/>
          <w:color w:val="auto"/>
          <w:sz w:val="21"/>
          <w:szCs w:val="21"/>
        </w:rPr>
        <w:t>主机标准套</w:t>
      </w:r>
    </w:p>
    <w:p w14:paraId="74AEB5AB">
      <w:pPr>
        <w:pageBreakBefore w:val="0"/>
        <w:kinsoku/>
        <w:wordWrap/>
        <w:overflowPunct/>
        <w:topLinePunct w:val="0"/>
        <w:bidi w:val="0"/>
        <w:spacing w:line="320" w:lineRule="exact"/>
        <w:ind w:firstLine="422" w:firstLineChars="20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4</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售后服务</w:t>
      </w:r>
    </w:p>
    <w:p w14:paraId="366C3795">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Theme="minorEastAsia" w:hAnsiTheme="minorEastAsia" w:eastAsiaTheme="minorEastAsia" w:cstheme="minorEastAsia"/>
          <w:b w:val="0"/>
          <w:bCs w:val="0"/>
          <w:color w:val="auto"/>
          <w:sz w:val="24"/>
          <w:lang w:val="en-US" w:eastAsia="zh-CN"/>
        </w:rPr>
      </w:pPr>
      <w:r>
        <w:rPr>
          <w:rFonts w:hint="eastAsia" w:ascii="宋体" w:hAnsi="宋体" w:eastAsia="宋体" w:cs="宋体"/>
          <w:color w:val="auto"/>
          <w:sz w:val="21"/>
          <w:szCs w:val="21"/>
          <w:lang w:val="en-US" w:eastAsia="zh-CN"/>
        </w:rPr>
        <w:t>（1）质保期为壹年。保修期间，提供免费上门维修、更换非人为原因损坏零部件及技术咨询服务。</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（2）在保修期结束后，保证10年内提供备件、配件及试剂供应。</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（3）保证产品为最新原厂设备。</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w:t>
      </w:r>
      <w:r>
        <w:rPr>
          <w:rFonts w:hint="eastAsia" w:ascii="宋体" w:hAnsi="宋体" w:eastAsia="宋体" w:cs="宋体"/>
          <w:b/>
          <w:bCs/>
          <w:color w:val="auto"/>
          <w:sz w:val="21"/>
          <w:szCs w:val="21"/>
          <w:lang w:val="en-US" w:eastAsia="zh-CN"/>
        </w:rPr>
        <w:t>（4）在接到用户维修请求后，应能在2小时内做出快速响应，并在2个工作日内到达现场。</w:t>
      </w:r>
      <w:r>
        <w:rPr>
          <w:rFonts w:hint="eastAsia" w:ascii="宋体" w:hAnsi="宋体" w:eastAsia="宋体" w:cs="宋体"/>
          <w:color w:val="auto"/>
          <w:sz w:val="21"/>
          <w:szCs w:val="21"/>
          <w:lang w:val="en-US" w:eastAsia="zh-CN"/>
        </w:rPr>
        <w:br w:type="textWrapping"/>
      </w:r>
      <w:r>
        <w:rPr>
          <w:rFonts w:hint="eastAsia" w:ascii="宋体" w:hAnsi="宋体" w:eastAsia="宋体" w:cs="宋体"/>
          <w:color w:val="auto"/>
          <w:sz w:val="21"/>
          <w:szCs w:val="21"/>
          <w:lang w:val="en-US" w:eastAsia="zh-CN"/>
        </w:rPr>
        <w:t xml:space="preserve">   （5）为用户提供仪器的基本原理、操作、日常维护及基础分析仪器理论课程，并为用户提供上机培训</w:t>
      </w:r>
      <w:r>
        <w:rPr>
          <w:rFonts w:hint="eastAsia" w:ascii="宋体" w:hAnsi="宋体" w:eastAsia="宋体" w:cs="宋体"/>
          <w:color w:val="auto"/>
          <w:sz w:val="21"/>
          <w:szCs w:val="21"/>
        </w:rPr>
        <w:t>。</w:t>
      </w:r>
    </w:p>
    <w:p w14:paraId="6FB7361C">
      <w:pPr>
        <w:pStyle w:val="4"/>
        <w:pageBreakBefore w:val="0"/>
        <w:numPr>
          <w:ilvl w:val="0"/>
          <w:numId w:val="0"/>
        </w:numPr>
        <w:kinsoku/>
        <w:wordWrap/>
        <w:overflowPunct/>
        <w:topLinePunct w:val="0"/>
        <w:autoSpaceDE/>
        <w:autoSpaceDN/>
        <w:bidi w:val="0"/>
        <w:adjustRightInd/>
        <w:snapToGrid/>
        <w:spacing w:beforeLines="0" w:line="320" w:lineRule="exact"/>
        <w:ind w:left="0" w:right="0" w:rightChars="0"/>
        <w:jc w:val="both"/>
        <w:textAlignment w:val="auto"/>
        <w:rPr>
          <w:rFonts w:hint="eastAsia" w:ascii="宋体" w:hAnsi="宋体" w:eastAsia="宋体" w:cs="宋体"/>
          <w:color w:val="auto"/>
          <w:sz w:val="21"/>
          <w:szCs w:val="21"/>
          <w:lang w:val="en-US" w:eastAsia="zh-CN"/>
        </w:rPr>
      </w:pPr>
    </w:p>
    <w:p w14:paraId="3860DA75">
      <w:pPr>
        <w:pStyle w:val="4"/>
        <w:pageBreakBefore w:val="0"/>
        <w:numPr>
          <w:ilvl w:val="0"/>
          <w:numId w:val="0"/>
        </w:numPr>
        <w:kinsoku/>
        <w:wordWrap/>
        <w:overflowPunct/>
        <w:topLinePunct w:val="0"/>
        <w:autoSpaceDE/>
        <w:autoSpaceDN/>
        <w:bidi w:val="0"/>
        <w:adjustRightInd/>
        <w:snapToGrid/>
        <w:spacing w:beforeLines="0" w:line="320" w:lineRule="exact"/>
        <w:ind w:left="0" w:right="0" w:rightChars="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（二十二）</w:t>
      </w:r>
      <w:r>
        <w:rPr>
          <w:rFonts w:hint="eastAsia" w:ascii="宋体" w:hAnsi="宋体" w:eastAsia="宋体" w:cs="宋体"/>
          <w:color w:val="auto"/>
          <w:sz w:val="21"/>
          <w:szCs w:val="21"/>
          <w:lang w:eastAsia="zh-CN"/>
        </w:rPr>
        <w:t xml:space="preserve"> 危化品安全管理智能设备及系统</w:t>
      </w:r>
    </w:p>
    <w:p w14:paraId="7658B314">
      <w:pPr>
        <w:pageBreakBefore w:val="0"/>
        <w:numPr>
          <w:ilvl w:val="0"/>
          <w:numId w:val="0"/>
        </w:numPr>
        <w:kinsoku/>
        <w:wordWrap/>
        <w:overflowPunct/>
        <w:topLinePunct w:val="0"/>
        <w:autoSpaceDE/>
        <w:autoSpaceDN/>
        <w:bidi w:val="0"/>
        <w:adjustRightInd/>
        <w:snapToGrid/>
        <w:spacing w:line="320" w:lineRule="exact"/>
        <w:ind w:left="0" w:right="0" w:rightChars="0"/>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1.</w:t>
      </w:r>
      <w:r>
        <w:rPr>
          <w:rFonts w:hint="eastAsia" w:ascii="宋体" w:hAnsi="宋体" w:eastAsia="宋体" w:cs="宋体"/>
          <w:b/>
          <w:bCs/>
          <w:color w:val="auto"/>
          <w:sz w:val="21"/>
          <w:szCs w:val="21"/>
        </w:rPr>
        <w:t>硬件设备技术参数</w:t>
      </w:r>
      <w:r>
        <w:rPr>
          <w:rFonts w:hint="eastAsia" w:ascii="宋体" w:hAnsi="宋体" w:eastAsia="宋体" w:cs="宋体"/>
          <w:color w:val="auto"/>
          <w:sz w:val="21"/>
          <w:szCs w:val="21"/>
        </w:rPr>
        <w:t xml:space="preserve">  </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6"/>
        <w:gridCol w:w="6233"/>
      </w:tblGrid>
      <w:tr w14:paraId="58185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4471E588">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参数分类</w:t>
            </w:r>
          </w:p>
        </w:tc>
        <w:tc>
          <w:tcPr>
            <w:tcW w:w="6233" w:type="dxa"/>
            <w:noWrap w:val="0"/>
            <w:vAlign w:val="top"/>
          </w:tcPr>
          <w:p w14:paraId="38A44B10">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强制要求</w:t>
            </w:r>
          </w:p>
        </w:tc>
      </w:tr>
      <w:tr w14:paraId="12D97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061C8DAA">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安全认证</w:t>
            </w:r>
          </w:p>
        </w:tc>
        <w:tc>
          <w:tcPr>
            <w:tcW w:w="6233" w:type="dxa"/>
            <w:noWrap w:val="0"/>
            <w:vAlign w:val="top"/>
          </w:tcPr>
          <w:p w14:paraId="2E526465">
            <w:pPr>
              <w:numPr>
                <w:ilvl w:val="0"/>
                <w:numId w:val="0"/>
              </w:numPr>
              <w:jc w:val="left"/>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rPr>
              <w:t>通过CE认证                                                                 | FM认证或防爆认证（如ATEX/IECEx） ，需提供相关认证证书或报告</w:t>
            </w:r>
            <w:r>
              <w:rPr>
                <w:rFonts w:hint="eastAsia" w:ascii="宋体" w:hAnsi="宋体" w:eastAsia="宋体" w:cs="宋体"/>
                <w:color w:val="auto"/>
                <w:sz w:val="21"/>
                <w:szCs w:val="21"/>
                <w:lang w:eastAsia="zh-CN"/>
              </w:rPr>
              <w:t>。</w:t>
            </w:r>
          </w:p>
        </w:tc>
      </w:tr>
      <w:tr w14:paraId="7E511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4284AD86">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材质与防火设计</w:t>
            </w:r>
          </w:p>
        </w:tc>
        <w:tc>
          <w:tcPr>
            <w:tcW w:w="6233" w:type="dxa"/>
            <w:noWrap w:val="0"/>
            <w:vAlign w:val="top"/>
          </w:tcPr>
          <w:p w14:paraId="0F9A0940">
            <w:pPr>
              <w:numPr>
                <w:ilvl w:val="0"/>
                <w:numId w:val="0"/>
              </w:numP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rPr>
              <w:t>双层钢板+防火层≥38mm</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 xml:space="preserve"> 需提供钢板材质报告，检验项目包含屈服强度、抗拉强度、断后伸长率、r90值、弯曲试验、耐腐蚀等</w:t>
            </w:r>
            <w:r>
              <w:rPr>
                <w:rFonts w:hint="eastAsia" w:ascii="宋体" w:hAnsi="宋体" w:eastAsia="宋体" w:cs="宋体"/>
                <w:color w:val="auto"/>
                <w:sz w:val="21"/>
                <w:szCs w:val="21"/>
                <w:lang w:eastAsia="zh-CN"/>
              </w:rPr>
              <w:t>。</w:t>
            </w:r>
          </w:p>
        </w:tc>
      </w:tr>
      <w:tr w14:paraId="24ABD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3208EED3">
            <w:pPr>
              <w:numPr>
                <w:ilvl w:val="0"/>
                <w:numId w:val="0"/>
              </w:numPr>
              <w:rPr>
                <w:rFonts w:hint="eastAsia" w:ascii="宋体" w:hAnsi="宋体" w:eastAsia="宋体" w:cs="宋体"/>
                <w:color w:val="auto"/>
                <w:sz w:val="21"/>
                <w:szCs w:val="21"/>
                <w:lang w:eastAsia="zh-CN"/>
              </w:rPr>
            </w:pPr>
            <w:r>
              <w:rPr>
                <w:rFonts w:hint="eastAsia" w:ascii="宋体" w:hAnsi="宋体" w:eastAsia="宋体" w:cs="宋体"/>
                <w:color w:val="auto"/>
                <w:sz w:val="21"/>
                <w:szCs w:val="21"/>
                <w:vertAlign w:val="baseline"/>
              </w:rPr>
              <w:t>外形尺寸</w:t>
            </w:r>
            <w:r>
              <w:rPr>
                <w:rFonts w:hint="eastAsia" w:ascii="宋体" w:hAnsi="宋体" w:eastAsia="宋体" w:cs="宋体"/>
                <w:color w:val="auto"/>
                <w:sz w:val="21"/>
                <w:szCs w:val="21"/>
                <w:vertAlign w:val="baseline"/>
                <w:lang w:eastAsia="zh-CN"/>
              </w:rPr>
              <w:t>、容量</w:t>
            </w:r>
          </w:p>
        </w:tc>
        <w:tc>
          <w:tcPr>
            <w:tcW w:w="6233" w:type="dxa"/>
            <w:noWrap w:val="0"/>
            <w:vAlign w:val="top"/>
          </w:tcPr>
          <w:p w14:paraId="0A106EE2">
            <w:pPr>
              <w:jc w:val="left"/>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rPr>
              <w:t>外形尺寸：≥10</w:t>
            </w:r>
            <w:r>
              <w:rPr>
                <w:rFonts w:hint="eastAsia" w:ascii="宋体" w:hAnsi="宋体" w:eastAsia="宋体" w:cs="宋体"/>
                <w:color w:val="auto"/>
                <w:sz w:val="21"/>
                <w:szCs w:val="21"/>
                <w:vertAlign w:val="baseline"/>
                <w:lang w:val="en-US" w:eastAsia="zh-CN"/>
              </w:rPr>
              <w:t>0</w:t>
            </w:r>
            <w:r>
              <w:rPr>
                <w:rFonts w:hint="eastAsia" w:ascii="宋体" w:hAnsi="宋体" w:eastAsia="宋体" w:cs="宋体"/>
                <w:color w:val="auto"/>
                <w:sz w:val="21"/>
                <w:szCs w:val="21"/>
                <w:vertAlign w:val="baseline"/>
              </w:rPr>
              <w:t>0*4</w:t>
            </w:r>
            <w:r>
              <w:rPr>
                <w:rFonts w:hint="eastAsia" w:ascii="宋体" w:hAnsi="宋体" w:eastAsia="宋体" w:cs="宋体"/>
                <w:color w:val="auto"/>
                <w:sz w:val="21"/>
                <w:szCs w:val="21"/>
                <w:vertAlign w:val="baseline"/>
                <w:lang w:val="en-US" w:eastAsia="zh-CN"/>
              </w:rPr>
              <w:t>5</w:t>
            </w:r>
            <w:r>
              <w:rPr>
                <w:rFonts w:hint="eastAsia" w:ascii="宋体" w:hAnsi="宋体" w:eastAsia="宋体" w:cs="宋体"/>
                <w:color w:val="auto"/>
                <w:sz w:val="21"/>
                <w:szCs w:val="21"/>
                <w:vertAlign w:val="baseline"/>
              </w:rPr>
              <w:t>0*18</w:t>
            </w:r>
            <w:r>
              <w:rPr>
                <w:rFonts w:hint="eastAsia" w:ascii="宋体" w:hAnsi="宋体" w:eastAsia="宋体" w:cs="宋体"/>
                <w:color w:val="auto"/>
                <w:sz w:val="21"/>
                <w:szCs w:val="21"/>
                <w:vertAlign w:val="baseline"/>
                <w:lang w:val="en-US" w:eastAsia="zh-CN"/>
              </w:rPr>
              <w:t>00</w:t>
            </w:r>
            <w:r>
              <w:rPr>
                <w:rFonts w:hint="eastAsia" w:ascii="宋体" w:hAnsi="宋体" w:eastAsia="宋体" w:cs="宋体"/>
                <w:color w:val="auto"/>
                <w:sz w:val="21"/>
                <w:szCs w:val="21"/>
                <w:vertAlign w:val="baseline"/>
              </w:rPr>
              <w:t>mm，容量：≥45加仑/170升。外观平整、无划痕、无压伤锈斑、漆膜附着力强、结实可靠，尺寸偏差在±0.5%以内，检测</w:t>
            </w:r>
            <w:r>
              <w:rPr>
                <w:rFonts w:hint="eastAsia" w:ascii="宋体" w:hAnsi="宋体" w:eastAsia="宋体" w:cs="宋体"/>
                <w:color w:val="auto"/>
                <w:sz w:val="21"/>
                <w:szCs w:val="21"/>
                <w:lang w:eastAsia="zh-CN"/>
              </w:rPr>
              <w:t>依据</w:t>
            </w:r>
            <w:r>
              <w:rPr>
                <w:rFonts w:hint="eastAsia" w:ascii="宋体" w:hAnsi="宋体" w:eastAsia="宋体" w:cs="宋体"/>
                <w:color w:val="auto"/>
                <w:sz w:val="21"/>
                <w:szCs w:val="21"/>
                <w:vertAlign w:val="baseline"/>
              </w:rPr>
              <w:t>符合JG/T 385-2012标准</w:t>
            </w:r>
            <w:r>
              <w:rPr>
                <w:rFonts w:hint="eastAsia" w:ascii="宋体" w:hAnsi="宋体" w:eastAsia="宋体" w:cs="宋体"/>
                <w:color w:val="auto"/>
                <w:sz w:val="21"/>
                <w:szCs w:val="21"/>
                <w:vertAlign w:val="baseline"/>
                <w:lang w:eastAsia="zh-CN"/>
              </w:rPr>
              <w:t>。</w:t>
            </w:r>
          </w:p>
          <w:p w14:paraId="2654D3A0">
            <w:pP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配置三点联动锁、挂锁孔、电磁锁（带应急装置），符合《公安部第154号令》对于易制毒、易制爆危险化学品的管理要求。对于常规试剂可实现单人单锁控制</w:t>
            </w:r>
            <w:r>
              <w:rPr>
                <w:rFonts w:hint="eastAsia" w:ascii="宋体" w:hAnsi="宋体" w:eastAsia="宋体" w:cs="宋体"/>
                <w:color w:val="auto"/>
                <w:sz w:val="21"/>
                <w:szCs w:val="21"/>
                <w:lang w:eastAsia="zh-CN"/>
              </w:rPr>
              <w:t>。</w:t>
            </w:r>
          </w:p>
        </w:tc>
      </w:tr>
      <w:tr w14:paraId="27F29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1D4B88F4">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泄漏控制</w:t>
            </w:r>
          </w:p>
        </w:tc>
        <w:tc>
          <w:tcPr>
            <w:tcW w:w="6233" w:type="dxa"/>
            <w:noWrap w:val="0"/>
            <w:vAlign w:val="top"/>
          </w:tcPr>
          <w:p w14:paraId="0E921E66">
            <w:pPr>
              <w:numPr>
                <w:ilvl w:val="0"/>
                <w:numId w:val="0"/>
              </w:numP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盛漏槽深度≥40mm+泄漏传感器</w:t>
            </w:r>
            <w:r>
              <w:rPr>
                <w:rFonts w:hint="eastAsia" w:ascii="宋体" w:hAnsi="宋体" w:eastAsia="宋体" w:cs="宋体"/>
                <w:color w:val="auto"/>
                <w:sz w:val="21"/>
                <w:szCs w:val="21"/>
                <w:lang w:eastAsia="zh-CN"/>
              </w:rPr>
              <w:t>，盛液盘容量占比≥3%，检测依据符合JG/T 385-2012标准，</w:t>
            </w:r>
          </w:p>
        </w:tc>
      </w:tr>
      <w:tr w14:paraId="594B1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38AD1752">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承重能力</w:t>
            </w:r>
          </w:p>
        </w:tc>
        <w:tc>
          <w:tcPr>
            <w:tcW w:w="6233" w:type="dxa"/>
            <w:noWrap w:val="0"/>
            <w:vAlign w:val="top"/>
          </w:tcPr>
          <w:p w14:paraId="42C08C81">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层版承重不低于100kg/㎡，检测依据符合JG/T 385-2012标准，提供相关检测报告。</w:t>
            </w:r>
          </w:p>
        </w:tc>
      </w:tr>
      <w:tr w14:paraId="32AE1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418E0DB1">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防静电设计</w:t>
            </w:r>
          </w:p>
        </w:tc>
        <w:tc>
          <w:tcPr>
            <w:tcW w:w="6233" w:type="dxa"/>
            <w:noWrap w:val="0"/>
            <w:vAlign w:val="top"/>
          </w:tcPr>
          <w:p w14:paraId="5AD910C6">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配备基础防静电接地装置</w:t>
            </w:r>
          </w:p>
        </w:tc>
      </w:tr>
      <w:tr w14:paraId="51B09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64E2D3FB">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应急响应</w:t>
            </w:r>
          </w:p>
        </w:tc>
        <w:tc>
          <w:tcPr>
            <w:tcW w:w="6233" w:type="dxa"/>
            <w:noWrap w:val="0"/>
            <w:vAlign w:val="top"/>
          </w:tcPr>
          <w:p w14:paraId="7BF6F00E">
            <w:pPr>
              <w:numPr>
                <w:ilvl w:val="0"/>
                <w:numId w:val="0"/>
              </w:numP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自动通风+消防联动</w:t>
            </w:r>
            <w:r>
              <w:rPr>
                <w:rFonts w:hint="eastAsia" w:ascii="宋体" w:hAnsi="宋体" w:eastAsia="宋体" w:cs="宋体"/>
                <w:color w:val="auto"/>
                <w:sz w:val="21"/>
                <w:szCs w:val="21"/>
                <w:lang w:eastAsia="zh-CN"/>
              </w:rPr>
              <w:t>，报警系统：浓度超高报警、温湿度异常报警、开门超时报警、设备故障报警、滤芯寿命报警等多种类型，可通过蜂鸣、灯光闪烁等方式进行提醒，同时通过云平台推送报警信息至手机短信/APP/危化品安全管理平台等，且具有远程报警端口，可与其他系统对接</w:t>
            </w:r>
          </w:p>
        </w:tc>
      </w:tr>
      <w:tr w14:paraId="32E54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noWrap w:val="0"/>
            <w:vAlign w:val="top"/>
          </w:tcPr>
          <w:p w14:paraId="5D636D90">
            <w:pPr>
              <w:numPr>
                <w:ilvl w:val="0"/>
                <w:numId w:val="0"/>
              </w:numP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排风系统等其他附件</w:t>
            </w:r>
          </w:p>
        </w:tc>
        <w:tc>
          <w:tcPr>
            <w:tcW w:w="6233" w:type="dxa"/>
            <w:noWrap w:val="0"/>
            <w:vAlign w:val="top"/>
          </w:tcPr>
          <w:p w14:paraId="0B9889E6">
            <w:pPr>
              <w:numPr>
                <w:ilvl w:val="0"/>
                <w:numId w:val="0"/>
              </w:numP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rPr>
              <w:t>配置可调速离心风机，每分钟换气次数不低于3次，空气处理量≥144m³/h。开门时风机自动变频，提高转速，避免柜内大量化学气体泄漏</w:t>
            </w:r>
            <w:r>
              <w:rPr>
                <w:rFonts w:hint="eastAsia" w:ascii="宋体" w:hAnsi="宋体" w:eastAsia="宋体" w:cs="宋体"/>
                <w:color w:val="auto"/>
                <w:sz w:val="21"/>
                <w:szCs w:val="21"/>
                <w:vertAlign w:val="baseline"/>
                <w:lang w:eastAsia="zh-CN"/>
              </w:rPr>
              <w:t>。</w:t>
            </w:r>
          </w:p>
          <w:p w14:paraId="2659ECA8">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配置双层高效过滤器，过滤效率≥99%。针对标准化学品异丙醇、环己烷（普通危化品）等的过滤器在达到1%TWA(卫生部规定的职业吸入限值）时，每块过滤器的具体吸附量不低于行业标准规定值，需检测依据符合JG/T 385-2012标准</w:t>
            </w:r>
          </w:p>
          <w:p w14:paraId="1B590F51">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配置高精度温湿度探测器，温度检测精度：±0.5℃，湿度检测精度：±3%RH（25℃）</w:t>
            </w:r>
          </w:p>
          <w:p w14:paraId="7E9B9A7E">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vertAlign w:val="baseline"/>
              </w:rPr>
              <w:t>配置双VOC浓度探头，及时监测柜内危化品气体的浓度，确保安全</w:t>
            </w:r>
          </w:p>
        </w:tc>
      </w:tr>
    </w:tbl>
    <w:p w14:paraId="0D96F150">
      <w:pPr>
        <w:pageBreakBefore w:val="0"/>
        <w:numPr>
          <w:ilvl w:val="0"/>
          <w:numId w:val="0"/>
        </w:numPr>
        <w:kinsoku/>
        <w:wordWrap/>
        <w:overflowPunct/>
        <w:topLinePunct w:val="0"/>
        <w:autoSpaceDE/>
        <w:autoSpaceDN/>
        <w:bidi w:val="0"/>
        <w:adjustRightInd/>
        <w:snapToGrid/>
        <w:spacing w:line="320" w:lineRule="exact"/>
        <w:ind w:left="0" w:leftChars="0" w:right="0" w:rightChars="0"/>
        <w:textAlignment w:val="auto"/>
        <w:rPr>
          <w:rFonts w:hint="eastAsia" w:ascii="宋体" w:hAnsi="宋体" w:eastAsia="宋体" w:cs="宋体"/>
          <w:b/>
          <w:bCs/>
          <w:color w:val="auto"/>
          <w:sz w:val="21"/>
          <w:szCs w:val="21"/>
        </w:rPr>
      </w:pPr>
    </w:p>
    <w:p w14:paraId="405779CD">
      <w:pPr>
        <w:pageBreakBefore w:val="0"/>
        <w:numPr>
          <w:ilvl w:val="0"/>
          <w:numId w:val="0"/>
        </w:numPr>
        <w:kinsoku/>
        <w:wordWrap/>
        <w:overflowPunct/>
        <w:topLinePunct w:val="0"/>
        <w:autoSpaceDE/>
        <w:autoSpaceDN/>
        <w:bidi w:val="0"/>
        <w:adjustRightInd/>
        <w:snapToGrid/>
        <w:spacing w:line="320" w:lineRule="exact"/>
        <w:ind w:left="0" w:leftChars="0" w:right="0" w:rightChars="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 xml:space="preserve">软件功能技术参数  </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4415E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4CBB8821">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功能模块</w:t>
            </w:r>
          </w:p>
        </w:tc>
        <w:tc>
          <w:tcPr>
            <w:tcW w:w="2841" w:type="dxa"/>
            <w:noWrap w:val="0"/>
            <w:vAlign w:val="top"/>
          </w:tcPr>
          <w:p w14:paraId="08E0DD28">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强制要求</w:t>
            </w:r>
          </w:p>
        </w:tc>
        <w:tc>
          <w:tcPr>
            <w:tcW w:w="2841" w:type="dxa"/>
            <w:noWrap w:val="0"/>
            <w:vAlign w:val="top"/>
          </w:tcPr>
          <w:p w14:paraId="7CF8C6ED">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推荐要求</w:t>
            </w:r>
          </w:p>
        </w:tc>
      </w:tr>
      <w:tr w14:paraId="7780A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036242AE">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权限管理</w:t>
            </w:r>
          </w:p>
        </w:tc>
        <w:tc>
          <w:tcPr>
            <w:tcW w:w="2841" w:type="dxa"/>
            <w:noWrap w:val="0"/>
            <w:vAlign w:val="top"/>
          </w:tcPr>
          <w:p w14:paraId="60B7A993">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生物识别（人脸/指纹）+多级权限分级 +操作日志记录</w:t>
            </w:r>
          </w:p>
        </w:tc>
        <w:tc>
          <w:tcPr>
            <w:tcW w:w="2841" w:type="dxa"/>
            <w:noWrap w:val="0"/>
            <w:vAlign w:val="top"/>
          </w:tcPr>
          <w:p w14:paraId="34CD6BB3">
            <w:pPr>
              <w:numPr>
                <w:ilvl w:val="0"/>
                <w:numId w:val="0"/>
              </w:numPr>
              <w:rPr>
                <w:rFonts w:hint="eastAsia" w:ascii="宋体" w:hAnsi="宋体" w:eastAsia="宋体" w:cs="宋体"/>
                <w:color w:val="auto"/>
                <w:sz w:val="21"/>
                <w:szCs w:val="21"/>
                <w:vertAlign w:val="baseline"/>
              </w:rPr>
            </w:pPr>
          </w:p>
        </w:tc>
      </w:tr>
      <w:tr w14:paraId="4F31D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7593D505">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数据管理</w:t>
            </w:r>
          </w:p>
        </w:tc>
        <w:tc>
          <w:tcPr>
            <w:tcW w:w="2841" w:type="dxa"/>
            <w:noWrap w:val="0"/>
            <w:vAlign w:val="top"/>
          </w:tcPr>
          <w:p w14:paraId="082B58DD">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云端同步+电子台账生成</w:t>
            </w:r>
          </w:p>
        </w:tc>
        <w:tc>
          <w:tcPr>
            <w:tcW w:w="2841" w:type="dxa"/>
            <w:noWrap w:val="0"/>
            <w:vAlign w:val="top"/>
          </w:tcPr>
          <w:p w14:paraId="5CBC8426">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 xml:space="preserve">  </w:t>
            </w:r>
          </w:p>
        </w:tc>
      </w:tr>
      <w:tr w14:paraId="6539F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6C9E7406">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监控报警</w:t>
            </w:r>
          </w:p>
        </w:tc>
        <w:tc>
          <w:tcPr>
            <w:tcW w:w="2841" w:type="dxa"/>
            <w:noWrap w:val="0"/>
            <w:vAlign w:val="top"/>
          </w:tcPr>
          <w:p w14:paraId="77A95CF1">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温湿度实时显示+VOC/泄漏传感器+APP远程报警</w:t>
            </w:r>
          </w:p>
        </w:tc>
        <w:tc>
          <w:tcPr>
            <w:tcW w:w="2841" w:type="dxa"/>
            <w:noWrap w:val="0"/>
            <w:vAlign w:val="top"/>
          </w:tcPr>
          <w:p w14:paraId="423CAA94">
            <w:pPr>
              <w:numPr>
                <w:ilvl w:val="0"/>
                <w:numId w:val="0"/>
              </w:numPr>
              <w:rPr>
                <w:rFonts w:hint="eastAsia" w:ascii="宋体" w:hAnsi="宋体" w:eastAsia="宋体" w:cs="宋体"/>
                <w:color w:val="auto"/>
                <w:sz w:val="21"/>
                <w:szCs w:val="21"/>
                <w:vertAlign w:val="baseline"/>
              </w:rPr>
            </w:pPr>
          </w:p>
        </w:tc>
      </w:tr>
      <w:tr w14:paraId="64F1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5887BD2F">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系统兼容性</w:t>
            </w:r>
          </w:p>
        </w:tc>
        <w:tc>
          <w:tcPr>
            <w:tcW w:w="2841" w:type="dxa"/>
            <w:noWrap w:val="0"/>
            <w:vAlign w:val="top"/>
          </w:tcPr>
          <w:p w14:paraId="54DF8034">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支持</w:t>
            </w:r>
            <w:r>
              <w:rPr>
                <w:rFonts w:hint="eastAsia" w:ascii="宋体" w:hAnsi="宋体" w:eastAsia="宋体" w:cs="宋体"/>
                <w:color w:val="auto"/>
                <w:sz w:val="21"/>
                <w:szCs w:val="21"/>
                <w:lang w:eastAsia="zh-CN"/>
              </w:rPr>
              <w:t>国产电脑统信</w:t>
            </w:r>
            <w:r>
              <w:rPr>
                <w:rFonts w:hint="eastAsia" w:ascii="宋体" w:hAnsi="宋体" w:eastAsia="宋体" w:cs="宋体"/>
                <w:color w:val="auto"/>
                <w:sz w:val="21"/>
                <w:szCs w:val="21"/>
              </w:rPr>
              <w:t>操作系统</w:t>
            </w:r>
          </w:p>
        </w:tc>
        <w:tc>
          <w:tcPr>
            <w:tcW w:w="2841" w:type="dxa"/>
            <w:noWrap w:val="0"/>
            <w:vAlign w:val="top"/>
          </w:tcPr>
          <w:p w14:paraId="314246BC">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开放API接口，可对接LIMS系统</w:t>
            </w:r>
          </w:p>
        </w:tc>
      </w:tr>
    </w:tbl>
    <w:p w14:paraId="05B9535F">
      <w:pPr>
        <w:pageBreakBefore w:val="0"/>
        <w:kinsoku/>
        <w:wordWrap/>
        <w:overflowPunct/>
        <w:topLinePunct w:val="0"/>
        <w:autoSpaceDE/>
        <w:autoSpaceDN/>
        <w:bidi w:val="0"/>
        <w:adjustRightInd/>
        <w:snapToGrid/>
        <w:spacing w:line="320" w:lineRule="exact"/>
        <w:ind w:left="0" w:right="0" w:rightChars="0"/>
        <w:textAlignment w:val="auto"/>
        <w:rPr>
          <w:rFonts w:hint="eastAsia" w:ascii="宋体" w:hAnsi="宋体" w:eastAsia="宋体" w:cs="宋体"/>
          <w:color w:val="auto"/>
          <w:sz w:val="21"/>
          <w:szCs w:val="21"/>
        </w:rPr>
      </w:pPr>
    </w:p>
    <w:p w14:paraId="5FD3D79C">
      <w:pPr>
        <w:pageBreakBefore w:val="0"/>
        <w:numPr>
          <w:ilvl w:val="0"/>
          <w:numId w:val="0"/>
        </w:numPr>
        <w:kinsoku/>
        <w:wordWrap/>
        <w:overflowPunct/>
        <w:topLinePunct w:val="0"/>
        <w:autoSpaceDE/>
        <w:autoSpaceDN/>
        <w:bidi w:val="0"/>
        <w:adjustRightInd/>
        <w:snapToGrid/>
        <w:spacing w:line="320" w:lineRule="exact"/>
        <w:ind w:left="0" w:leftChars="0" w:right="0" w:rightChars="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 xml:space="preserve">配置清单  </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7"/>
        <w:gridCol w:w="3518"/>
        <w:gridCol w:w="2507"/>
      </w:tblGrid>
      <w:tr w14:paraId="62C24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41D0A649">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设备/模块名称</w:t>
            </w:r>
          </w:p>
        </w:tc>
        <w:tc>
          <w:tcPr>
            <w:tcW w:w="3518" w:type="dxa"/>
            <w:noWrap w:val="0"/>
            <w:vAlign w:val="top"/>
          </w:tcPr>
          <w:p w14:paraId="743C940F">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技术规格</w:t>
            </w:r>
          </w:p>
        </w:tc>
        <w:tc>
          <w:tcPr>
            <w:tcW w:w="2507" w:type="dxa"/>
            <w:noWrap w:val="0"/>
            <w:vAlign w:val="top"/>
          </w:tcPr>
          <w:p w14:paraId="4AE02E97">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数量</w:t>
            </w:r>
          </w:p>
        </w:tc>
      </w:tr>
      <w:tr w14:paraId="26B60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3F3A9332">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智能危化品安全柜</w:t>
            </w:r>
          </w:p>
        </w:tc>
        <w:tc>
          <w:tcPr>
            <w:tcW w:w="3518" w:type="dxa"/>
            <w:noWrap w:val="0"/>
            <w:vAlign w:val="top"/>
          </w:tcPr>
          <w:p w14:paraId="6CD3DE5E">
            <w:pPr>
              <w:numPr>
                <w:ilvl w:val="0"/>
                <w:numId w:val="0"/>
              </w:numP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rPr>
              <w:t>符合强制参数要求（材质、防火层、盛漏槽</w:t>
            </w:r>
            <w:r>
              <w:rPr>
                <w:rFonts w:hint="eastAsia" w:ascii="宋体" w:hAnsi="宋体" w:eastAsia="宋体" w:cs="宋体"/>
                <w:color w:val="auto"/>
                <w:sz w:val="21"/>
                <w:szCs w:val="21"/>
                <w:lang w:eastAsia="zh-CN"/>
              </w:rPr>
              <w:t>、高精度温湿度探测器</w:t>
            </w:r>
            <w:r>
              <w:rPr>
                <w:rFonts w:hint="eastAsia" w:ascii="宋体" w:hAnsi="宋体" w:eastAsia="宋体" w:cs="宋体"/>
                <w:color w:val="auto"/>
                <w:sz w:val="21"/>
                <w:szCs w:val="21"/>
              </w:rPr>
              <w:t>等），可选配推荐功能</w:t>
            </w:r>
            <w:r>
              <w:rPr>
                <w:rFonts w:hint="eastAsia" w:ascii="宋体" w:hAnsi="宋体" w:eastAsia="宋体" w:cs="宋体"/>
                <w:color w:val="auto"/>
                <w:sz w:val="21"/>
                <w:szCs w:val="21"/>
                <w:lang w:eastAsia="zh-CN"/>
              </w:rPr>
              <w:t>，</w:t>
            </w:r>
          </w:p>
        </w:tc>
        <w:tc>
          <w:tcPr>
            <w:tcW w:w="2507" w:type="dxa"/>
            <w:noWrap w:val="0"/>
            <w:vAlign w:val="top"/>
          </w:tcPr>
          <w:p w14:paraId="7C875573">
            <w:pPr>
              <w:numPr>
                <w:ilvl w:val="0"/>
                <w:numId w:val="0"/>
              </w:numPr>
              <w:jc w:val="center"/>
              <w:rPr>
                <w:rFonts w:hint="eastAsia" w:ascii="宋体" w:hAnsi="宋体" w:eastAsia="宋体" w:cs="宋体"/>
                <w:color w:val="auto"/>
                <w:sz w:val="21"/>
                <w:szCs w:val="21"/>
              </w:rPr>
            </w:pPr>
            <w:r>
              <w:rPr>
                <w:rFonts w:hint="eastAsia" w:ascii="宋体" w:hAnsi="宋体" w:eastAsia="宋体" w:cs="宋体"/>
                <w:color w:val="auto"/>
                <w:sz w:val="21"/>
                <w:szCs w:val="21"/>
              </w:rPr>
              <w:t>15台</w:t>
            </w:r>
          </w:p>
          <w:p w14:paraId="2140DBAF">
            <w:pPr>
              <w:numPr>
                <w:ilvl w:val="0"/>
                <w:numId w:val="0"/>
              </w:numP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（常温危化品柜 14套，低温危化品储存柜 1套）</w:t>
            </w:r>
          </w:p>
        </w:tc>
      </w:tr>
      <w:tr w14:paraId="413E3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4541C679">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环境监控传感器</w:t>
            </w:r>
          </w:p>
        </w:tc>
        <w:tc>
          <w:tcPr>
            <w:tcW w:w="3518" w:type="dxa"/>
            <w:noWrap w:val="0"/>
            <w:vAlign w:val="top"/>
          </w:tcPr>
          <w:p w14:paraId="5A52C0F9">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温湿度监测模块（精度±2%），可选配VOC/泄漏传感器</w:t>
            </w:r>
          </w:p>
        </w:tc>
        <w:tc>
          <w:tcPr>
            <w:tcW w:w="2507" w:type="dxa"/>
            <w:noWrap w:val="0"/>
            <w:vAlign w:val="top"/>
          </w:tcPr>
          <w:p w14:paraId="5A066AA5">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15套</w:t>
            </w:r>
          </w:p>
        </w:tc>
      </w:tr>
      <w:tr w14:paraId="4D333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03BB2DED">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rPr>
              <w:t>数据管理平台</w:t>
            </w:r>
          </w:p>
        </w:tc>
        <w:tc>
          <w:tcPr>
            <w:tcW w:w="3518" w:type="dxa"/>
            <w:noWrap w:val="0"/>
            <w:vAlign w:val="top"/>
          </w:tcPr>
          <w:p w14:paraId="5BC8626B">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 xml:space="preserve">本地存储服务器+基础操作日志管理软件 </w:t>
            </w:r>
          </w:p>
        </w:tc>
        <w:tc>
          <w:tcPr>
            <w:tcW w:w="2507" w:type="dxa"/>
            <w:noWrap w:val="0"/>
            <w:vAlign w:val="top"/>
          </w:tcPr>
          <w:p w14:paraId="52011332">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lang w:eastAsia="zh-CN"/>
              </w:rPr>
              <w:t>1套</w:t>
            </w:r>
          </w:p>
        </w:tc>
      </w:tr>
      <w:tr w14:paraId="7885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336CEC73">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lang w:eastAsia="zh-CN"/>
              </w:rPr>
              <w:t>应急装置</w:t>
            </w:r>
          </w:p>
        </w:tc>
        <w:tc>
          <w:tcPr>
            <w:tcW w:w="3518" w:type="dxa"/>
            <w:noWrap w:val="0"/>
            <w:vAlign w:val="top"/>
          </w:tcPr>
          <w:p w14:paraId="4BCD4712">
            <w:pPr>
              <w:numPr>
                <w:ilvl w:val="0"/>
                <w:numId w:val="0"/>
              </w:numPr>
              <w:rPr>
                <w:rFonts w:hint="eastAsia" w:ascii="宋体" w:hAnsi="宋体" w:eastAsia="宋体" w:cs="宋体"/>
                <w:color w:val="auto"/>
                <w:sz w:val="21"/>
                <w:szCs w:val="21"/>
                <w:vertAlign w:val="baseline"/>
              </w:rPr>
            </w:pPr>
            <w:r>
              <w:rPr>
                <w:rFonts w:hint="eastAsia" w:ascii="宋体" w:hAnsi="宋体" w:eastAsia="宋体" w:cs="宋体"/>
                <w:color w:val="auto"/>
                <w:sz w:val="21"/>
                <w:szCs w:val="21"/>
                <w:lang w:eastAsia="zh-CN"/>
              </w:rPr>
              <w:t>自动通风系统+防静电接地装置，可选配自动联动模块</w:t>
            </w:r>
          </w:p>
        </w:tc>
        <w:tc>
          <w:tcPr>
            <w:tcW w:w="2507" w:type="dxa"/>
            <w:noWrap w:val="0"/>
            <w:vAlign w:val="top"/>
          </w:tcPr>
          <w:p w14:paraId="3D9FCE73">
            <w:pPr>
              <w:numPr>
                <w:ilvl w:val="0"/>
                <w:numId w:val="0"/>
              </w:numPr>
              <w:jc w:val="center"/>
              <w:rPr>
                <w:rFonts w:hint="eastAsia" w:ascii="宋体" w:hAnsi="宋体" w:eastAsia="宋体" w:cs="宋体"/>
                <w:color w:val="auto"/>
                <w:sz w:val="21"/>
                <w:szCs w:val="21"/>
                <w:vertAlign w:val="baseline"/>
              </w:rPr>
            </w:pPr>
            <w:r>
              <w:rPr>
                <w:rFonts w:hint="eastAsia" w:ascii="宋体" w:hAnsi="宋体" w:eastAsia="宋体" w:cs="宋体"/>
                <w:color w:val="auto"/>
                <w:sz w:val="21"/>
                <w:szCs w:val="21"/>
                <w:lang w:eastAsia="zh-CN"/>
              </w:rPr>
              <w:t>15套</w:t>
            </w:r>
          </w:p>
        </w:tc>
      </w:tr>
      <w:tr w14:paraId="0BC27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78ADA70F">
            <w:pPr>
              <w:numPr>
                <w:ilvl w:val="0"/>
                <w:numId w:val="0"/>
              </w:numPr>
              <w:ind w:left="0" w:leftChars="0" w:firstLine="0" w:firstLineChars="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防爆灯</w:t>
            </w:r>
          </w:p>
        </w:tc>
        <w:tc>
          <w:tcPr>
            <w:tcW w:w="3518" w:type="dxa"/>
            <w:noWrap w:val="0"/>
            <w:vAlign w:val="top"/>
          </w:tcPr>
          <w:p w14:paraId="3A38E08B">
            <w:pPr>
              <w:numPr>
                <w:ilvl w:val="0"/>
                <w:numId w:val="0"/>
              </w:numPr>
              <w:ind w:left="0" w:leftChars="0" w:firstLine="0" w:firstLineChars="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额定功率：1×16W</w:t>
            </w:r>
            <w:r>
              <w:rPr>
                <w:rFonts w:hint="eastAsia" w:ascii="宋体" w:hAnsi="宋体" w:eastAsia="宋体" w:cs="宋体"/>
                <w:color w:val="auto"/>
                <w:sz w:val="21"/>
                <w:szCs w:val="21"/>
                <w:lang w:eastAsia="zh-CN"/>
              </w:rPr>
              <w:t>，防爆标志：Exd IIB T6 Gb，防腐等级：WF2</w:t>
            </w:r>
          </w:p>
        </w:tc>
        <w:tc>
          <w:tcPr>
            <w:tcW w:w="2507" w:type="dxa"/>
            <w:noWrap w:val="0"/>
            <w:vAlign w:val="top"/>
          </w:tcPr>
          <w:p w14:paraId="47A87EA9">
            <w:pPr>
              <w:numPr>
                <w:ilvl w:val="0"/>
                <w:numId w:val="0"/>
              </w:numPr>
              <w:ind w:left="0" w:leftChars="0" w:firstLine="0" w:firstLineChar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1个</w:t>
            </w:r>
          </w:p>
        </w:tc>
      </w:tr>
      <w:tr w14:paraId="67196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3E2ABFB5">
            <w:pPr>
              <w:numPr>
                <w:ilvl w:val="0"/>
                <w:numId w:val="0"/>
              </w:numPr>
              <w:ind w:left="0" w:leftChars="0" w:firstLine="0" w:firstLineChars="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防爆摄像头</w:t>
            </w:r>
          </w:p>
        </w:tc>
        <w:tc>
          <w:tcPr>
            <w:tcW w:w="3518" w:type="dxa"/>
            <w:noWrap w:val="0"/>
            <w:vAlign w:val="top"/>
          </w:tcPr>
          <w:p w14:paraId="2995A563">
            <w:pPr>
              <w:numPr>
                <w:ilvl w:val="0"/>
                <w:numId w:val="0"/>
              </w:numPr>
              <w:ind w:left="0" w:leftChars="0" w:firstLine="0" w:firstLineChars="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网络存储：支持MicroSD/MicroSDHC/MicroSDXC卡（最大256 GB）断网本地存储及断网续传，NAS（NFS，SMB/CIFS均支持）。防爆等级高于Ex db IIC T6 Gb，可在易燃易爆环境中使用，符合GA/T 1127-2013、GB/T 4208-2017、GB/T 20138-2006产品标准和技术要求</w:t>
            </w:r>
          </w:p>
        </w:tc>
        <w:tc>
          <w:tcPr>
            <w:tcW w:w="2507" w:type="dxa"/>
            <w:noWrap w:val="0"/>
            <w:vAlign w:val="top"/>
          </w:tcPr>
          <w:p w14:paraId="5735DD2A">
            <w:pPr>
              <w:numPr>
                <w:ilvl w:val="0"/>
                <w:numId w:val="0"/>
              </w:numPr>
              <w:ind w:left="0" w:leftChars="0" w:firstLine="0" w:firstLineChars="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2套</w:t>
            </w:r>
          </w:p>
        </w:tc>
      </w:tr>
      <w:tr w14:paraId="02A33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15DCA642">
            <w:pPr>
              <w:numPr>
                <w:ilvl w:val="0"/>
                <w:numId w:val="0"/>
              </w:numPr>
              <w:ind w:left="0" w:leftChars="0"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 xml:space="preserve">防盗门 </w:t>
            </w:r>
          </w:p>
        </w:tc>
        <w:tc>
          <w:tcPr>
            <w:tcW w:w="3518" w:type="dxa"/>
            <w:noWrap w:val="0"/>
            <w:vAlign w:val="top"/>
          </w:tcPr>
          <w:p w14:paraId="73774009">
            <w:pPr>
              <w:numPr>
                <w:ilvl w:val="0"/>
                <w:numId w:val="0"/>
              </w:numPr>
              <w:ind w:left="0" w:leftChars="0" w:firstLine="0" w:firstLineChars="0"/>
              <w:rPr>
                <w:rFonts w:hint="eastAsia" w:ascii="宋体" w:hAnsi="宋体" w:eastAsia="宋体" w:cs="宋体"/>
                <w:color w:val="auto"/>
                <w:sz w:val="21"/>
                <w:szCs w:val="21"/>
              </w:rPr>
            </w:pPr>
          </w:p>
        </w:tc>
        <w:tc>
          <w:tcPr>
            <w:tcW w:w="2507" w:type="dxa"/>
            <w:noWrap w:val="0"/>
            <w:vAlign w:val="top"/>
          </w:tcPr>
          <w:p w14:paraId="2F22E280">
            <w:pPr>
              <w:numPr>
                <w:ilvl w:val="0"/>
                <w:numId w:val="0"/>
              </w:numPr>
              <w:ind w:left="0" w:lef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1套</w:t>
            </w:r>
          </w:p>
        </w:tc>
      </w:tr>
      <w:tr w14:paraId="761F0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7" w:type="dxa"/>
            <w:noWrap w:val="0"/>
            <w:vAlign w:val="top"/>
          </w:tcPr>
          <w:p w14:paraId="1442E45A">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安装与培训</w:t>
            </w:r>
          </w:p>
        </w:tc>
        <w:tc>
          <w:tcPr>
            <w:tcW w:w="3518" w:type="dxa"/>
            <w:noWrap w:val="0"/>
            <w:vAlign w:val="top"/>
          </w:tcPr>
          <w:p w14:paraId="1DEE4242">
            <w:pPr>
              <w:numPr>
                <w:ilvl w:val="0"/>
                <w:numId w:val="0"/>
              </w:numP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 xml:space="preserve">含设备安装调试、操作培训（2场次）及1年免费维护                                 </w:t>
            </w:r>
          </w:p>
        </w:tc>
        <w:tc>
          <w:tcPr>
            <w:tcW w:w="2507" w:type="dxa"/>
            <w:noWrap w:val="0"/>
            <w:vAlign w:val="top"/>
          </w:tcPr>
          <w:p w14:paraId="55FE8DA0">
            <w:pPr>
              <w:numPr>
                <w:ilvl w:val="0"/>
                <w:numId w:val="0"/>
              </w:num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1项</w:t>
            </w:r>
          </w:p>
        </w:tc>
      </w:tr>
    </w:tbl>
    <w:p w14:paraId="1F1A968A">
      <w:pPr>
        <w:pageBreakBefore w:val="0"/>
        <w:numPr>
          <w:ilvl w:val="0"/>
          <w:numId w:val="0"/>
        </w:numPr>
        <w:kinsoku/>
        <w:wordWrap/>
        <w:overflowPunct/>
        <w:topLinePunct w:val="0"/>
        <w:autoSpaceDE/>
        <w:autoSpaceDN/>
        <w:bidi w:val="0"/>
        <w:adjustRightInd/>
        <w:snapToGrid/>
        <w:spacing w:line="320" w:lineRule="exact"/>
        <w:ind w:left="0" w:leftChars="0" w:right="0" w:rightChars="0"/>
        <w:textAlignment w:val="auto"/>
        <w:rPr>
          <w:rFonts w:hint="eastAsia" w:ascii="宋体" w:hAnsi="宋体" w:eastAsia="宋体" w:cs="宋体"/>
          <w:color w:val="auto"/>
          <w:sz w:val="21"/>
          <w:szCs w:val="21"/>
          <w:lang w:eastAsia="zh-CN"/>
        </w:rPr>
      </w:pPr>
    </w:p>
    <w:p w14:paraId="57B03C36">
      <w:pPr>
        <w:pageBreakBefore w:val="0"/>
        <w:numPr>
          <w:ilvl w:val="0"/>
          <w:numId w:val="0"/>
        </w:numPr>
        <w:kinsoku/>
        <w:wordWrap/>
        <w:overflowPunct/>
        <w:topLinePunct w:val="0"/>
        <w:autoSpaceDE/>
        <w:autoSpaceDN/>
        <w:bidi w:val="0"/>
        <w:adjustRightInd/>
        <w:snapToGrid/>
        <w:spacing w:line="320" w:lineRule="exact"/>
        <w:ind w:left="0" w:right="0" w:rightChars="0" w:firstLine="422" w:firstLineChars="200"/>
        <w:textAlignment w:val="auto"/>
        <w:rPr>
          <w:rFonts w:hint="eastAsia" w:ascii="宋体" w:hAnsi="宋体" w:eastAsia="宋体" w:cs="宋体"/>
          <w:b/>
          <w:bCs/>
          <w:color w:val="auto"/>
          <w:sz w:val="21"/>
          <w:szCs w:val="21"/>
          <w:lang w:val="en-US"/>
        </w:rPr>
      </w:pPr>
      <w:r>
        <w:rPr>
          <w:rFonts w:hint="eastAsia" w:ascii="宋体" w:hAnsi="宋体" w:eastAsia="宋体" w:cs="宋体"/>
          <w:b/>
          <w:bCs/>
          <w:color w:val="auto"/>
          <w:sz w:val="21"/>
          <w:szCs w:val="21"/>
          <w:lang w:val="en-US" w:eastAsia="zh-CN"/>
        </w:rPr>
        <w:t>4.售后服务</w:t>
      </w:r>
    </w:p>
    <w:p w14:paraId="49D91BA5">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right="0" w:rightChars="0" w:firstLine="210" w:firstLineChars="1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（1）技术人员到现场免费进行安装调试整个系统，确保仪器技术指标验收合格，并在用户实验室现场培训基本操作技术。</w:t>
      </w:r>
    </w:p>
    <w:p w14:paraId="52DFA5E4">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right="0" w:rightChars="0" w:firstLine="210" w:firstLineChars="1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（2）仪器安装调试合格后提供保修期一年，仪器保修期应从填写验收合格书后第二天算起，制造厂方终生提供维修服务和技术支持；</w:t>
      </w:r>
    </w:p>
    <w:p w14:paraId="498041CE">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right="0" w:rightChars="0" w:firstLine="210" w:firstLineChars="100"/>
        <w:textAlignment w:val="auto"/>
        <w:rPr>
          <w:rFonts w:hint="eastAsia"/>
          <w:color w:val="auto"/>
          <w:lang w:val="en-US" w:eastAsia="zh-CN"/>
        </w:rPr>
      </w:pPr>
      <w:r>
        <w:rPr>
          <w:rFonts w:hint="eastAsia" w:ascii="宋体" w:hAnsi="宋体" w:eastAsia="宋体" w:cs="宋体"/>
          <w:color w:val="auto"/>
          <w:sz w:val="21"/>
          <w:szCs w:val="21"/>
          <w:lang w:val="en-US" w:eastAsia="zh-CN"/>
        </w:rPr>
        <w:t>（3）售后响应时间≤</w:t>
      </w:r>
      <w:r>
        <w:rPr>
          <w:rFonts w:hint="default" w:ascii="宋体" w:hAnsi="宋体" w:eastAsia="宋体" w:cs="宋体"/>
          <w:color w:val="auto"/>
          <w:sz w:val="21"/>
          <w:szCs w:val="21"/>
          <w:lang w:val="en" w:eastAsia="zh-CN"/>
        </w:rPr>
        <w:t>2</w:t>
      </w:r>
      <w:r>
        <w:rPr>
          <w:rFonts w:hint="eastAsia" w:ascii="宋体" w:hAnsi="宋体" w:eastAsia="宋体" w:cs="宋体"/>
          <w:color w:val="auto"/>
          <w:sz w:val="21"/>
          <w:szCs w:val="21"/>
          <w:lang w:val="en-US" w:eastAsia="zh-CN"/>
        </w:rPr>
        <w:t>小时，提供定期巡检及延保服务。</w:t>
      </w:r>
    </w:p>
    <w:p w14:paraId="5014ACFB">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p>
    <w:p w14:paraId="1021C2C8">
      <w:pPr>
        <w:pStyle w:val="4"/>
        <w:keepNext/>
        <w:keepLines/>
        <w:pageBreakBefore w:val="0"/>
        <w:widowControl/>
        <w:numPr>
          <w:ilvl w:val="0"/>
          <w:numId w:val="0"/>
        </w:numPr>
        <w:kinsoku/>
        <w:wordWrap/>
        <w:overflowPunct/>
        <w:topLinePunct w:val="0"/>
        <w:autoSpaceDE/>
        <w:autoSpaceDN/>
        <w:bidi w:val="0"/>
        <w:adjustRightInd/>
        <w:snapToGrid/>
        <w:spacing w:beforeLines="0" w:line="320" w:lineRule="exact"/>
        <w:ind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（二十三）标准品信息化储存管理系统</w:t>
      </w:r>
    </w:p>
    <w:p w14:paraId="05A0AF3A">
      <w:pPr>
        <w:pageBreakBefore w:val="0"/>
        <w:numPr>
          <w:ilvl w:val="0"/>
          <w:numId w:val="0"/>
        </w:numPr>
        <w:kinsoku/>
        <w:wordWrap/>
        <w:overflowPunct/>
        <w:topLinePunct w:val="0"/>
        <w:bidi w:val="0"/>
        <w:spacing w:line="320" w:lineRule="exact"/>
        <w:ind w:firstLine="422" w:firstLineChars="200"/>
        <w:outlineLvl w:val="0"/>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1.</w:t>
      </w:r>
      <w:r>
        <w:rPr>
          <w:rFonts w:hint="eastAsia" w:ascii="宋体" w:hAnsi="宋体" w:eastAsia="宋体" w:cs="宋体"/>
          <w:b/>
          <w:bCs/>
          <w:color w:val="auto"/>
          <w:sz w:val="21"/>
          <w:szCs w:val="21"/>
        </w:rPr>
        <w:t>总体要求</w:t>
      </w:r>
    </w:p>
    <w:p w14:paraId="1859AA6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通过</w:t>
      </w:r>
      <w:r>
        <w:rPr>
          <w:rFonts w:hint="eastAsia" w:ascii="宋体" w:hAnsi="宋体" w:eastAsia="宋体" w:cs="宋体"/>
          <w:color w:val="auto"/>
          <w:sz w:val="21"/>
          <w:szCs w:val="21"/>
          <w:lang w:val="en-US" w:eastAsia="zh-CN"/>
        </w:rPr>
        <w:t>标准品信息化储存管理系统</w:t>
      </w:r>
      <w:r>
        <w:rPr>
          <w:rFonts w:hint="eastAsia" w:ascii="宋体" w:hAnsi="宋体" w:eastAsia="宋体" w:cs="宋体"/>
          <w:color w:val="auto"/>
          <w:sz w:val="21"/>
          <w:szCs w:val="21"/>
        </w:rPr>
        <w:t>对实验室内标准品等物品进行管理，利用物联网大数据、云计算等信息技术，实现“实时监控”、“来源可查”、“去向可追”、“责任到人”的管理目标。</w:t>
      </w:r>
      <w:r>
        <w:rPr>
          <w:rFonts w:hint="eastAsia" w:ascii="宋体" w:hAnsi="宋体" w:eastAsia="宋体" w:cs="宋体"/>
          <w:color w:val="auto"/>
          <w:sz w:val="21"/>
          <w:szCs w:val="21"/>
          <w:lang w:val="en-US" w:eastAsia="zh-CN"/>
        </w:rPr>
        <w:t>标准品信息化储存管理系统</w:t>
      </w:r>
      <w:r>
        <w:rPr>
          <w:rFonts w:hint="eastAsia" w:ascii="宋体" w:hAnsi="宋体" w:eastAsia="宋体" w:cs="宋体"/>
          <w:color w:val="auto"/>
          <w:sz w:val="21"/>
          <w:szCs w:val="21"/>
        </w:rPr>
        <w:t>须具备标准品等物资独立管理模块，并辅以智能硬件系统用于存储物资，以满足各种标准品等实验室物资的不同存储要求。系统具备可拓展性，后续可增加多种管理模块。</w:t>
      </w:r>
    </w:p>
    <w:p w14:paraId="5F71FDF4">
      <w:pPr>
        <w:pageBreakBefore w:val="0"/>
        <w:kinsoku/>
        <w:wordWrap/>
        <w:overflowPunct/>
        <w:topLinePunct w:val="0"/>
        <w:bidi w:val="0"/>
        <w:spacing w:line="320" w:lineRule="exact"/>
        <w:ind w:firstLine="422" w:firstLineChars="200"/>
        <w:outlineLvl w:val="0"/>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硬件参数</w:t>
      </w:r>
    </w:p>
    <w:p w14:paraId="28E37503">
      <w:pPr>
        <w:pageBreakBefore w:val="0"/>
        <w:kinsoku/>
        <w:wordWrap/>
        <w:overflowPunct/>
        <w:topLinePunct w:val="0"/>
        <w:bidi w:val="0"/>
        <w:spacing w:line="320" w:lineRule="exact"/>
        <w:ind w:firstLine="422" w:firstLineChars="200"/>
        <w:outlineLvl w:val="1"/>
        <w:rPr>
          <w:rFonts w:hint="eastAsia" w:ascii="宋体" w:hAnsi="宋体" w:eastAsia="宋体" w:cs="宋体"/>
          <w:color w:val="auto"/>
          <w:sz w:val="21"/>
          <w:szCs w:val="21"/>
          <w:highlight w:val="green"/>
          <w:lang w:eastAsia="zh-CN"/>
        </w:rPr>
      </w:pPr>
      <w:r>
        <w:rPr>
          <w:rFonts w:hint="eastAsia" w:ascii="宋体" w:hAnsi="宋体" w:eastAsia="宋体" w:cs="宋体"/>
          <w:b/>
          <w:bCs/>
          <w:color w:val="auto"/>
          <w:sz w:val="21"/>
          <w:szCs w:val="21"/>
          <w:lang w:val="en-US" w:eastAsia="zh-CN"/>
        </w:rPr>
        <w:t>2.1</w:t>
      </w:r>
      <w:r>
        <w:rPr>
          <w:rFonts w:hint="eastAsia" w:ascii="宋体" w:hAnsi="宋体" w:eastAsia="宋体" w:cs="宋体"/>
          <w:b/>
          <w:bCs/>
          <w:color w:val="auto"/>
          <w:sz w:val="21"/>
          <w:szCs w:val="21"/>
        </w:rPr>
        <w:t>操控平台</w:t>
      </w:r>
      <w:r>
        <w:rPr>
          <w:rFonts w:hint="eastAsia" w:ascii="宋体" w:hAnsi="宋体" w:eastAsia="宋体" w:cs="宋体"/>
          <w:color w:val="auto"/>
          <w:sz w:val="21"/>
          <w:szCs w:val="21"/>
        </w:rPr>
        <w:tab/>
      </w:r>
    </w:p>
    <w:p w14:paraId="3D9F1314">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2.1.1服务器配置不低于：CPU E-2224  3.50GHZ  16GRAM   1TBROM；</w:t>
      </w:r>
    </w:p>
    <w:p w14:paraId="50A0B79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2.1.2集成人脸识别摄像头、多功能唯一性标识生成器、多功能唯一性标识识别器、鼠标键盘，可同时识别一维、二维等多种唯一性标识；</w:t>
      </w:r>
    </w:p>
    <w:p w14:paraId="1818EC2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2.1.3对异常行为、异常操作等情况具备语音提示功能；</w:t>
      </w:r>
    </w:p>
    <w:p w14:paraId="44B14FE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2.1.4集成多功能唯一性标识识别器，标签显示内容可自定义打印；</w:t>
      </w:r>
    </w:p>
    <w:p w14:paraId="3923200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2.1.5为实现标准品的证书管理，台式操控台需搭载高清高速高拍仪，专用镜头水平70度视角无畸变，支持标准品证书的扫描录入</w:t>
      </w:r>
      <w:r>
        <w:rPr>
          <w:rFonts w:hint="eastAsia" w:ascii="宋体" w:hAnsi="宋体" w:eastAsia="宋体" w:cs="宋体"/>
          <w:color w:val="auto"/>
          <w:sz w:val="21"/>
          <w:szCs w:val="21"/>
          <w:highlight w:val="none"/>
        </w:rPr>
        <w:t>。</w:t>
      </w:r>
    </w:p>
    <w:p w14:paraId="41DC790E">
      <w:pPr>
        <w:pageBreakBefore w:val="0"/>
        <w:kinsoku/>
        <w:wordWrap/>
        <w:overflowPunct/>
        <w:topLinePunct w:val="0"/>
        <w:bidi w:val="0"/>
        <w:spacing w:line="320" w:lineRule="exact"/>
        <w:ind w:firstLine="422" w:firstLineChars="200"/>
        <w:outlineLvl w:val="1"/>
        <w:rPr>
          <w:rFonts w:hint="eastAsia" w:ascii="宋体" w:hAnsi="宋体" w:eastAsia="宋体" w:cs="宋体"/>
          <w:color w:val="auto"/>
          <w:sz w:val="21"/>
          <w:szCs w:val="21"/>
          <w:highlight w:val="green"/>
          <w:lang w:eastAsia="zh-CN"/>
        </w:rPr>
      </w:pPr>
      <w:r>
        <w:rPr>
          <w:rFonts w:hint="eastAsia" w:ascii="宋体" w:hAnsi="宋体" w:eastAsia="宋体" w:cs="宋体"/>
          <w:b/>
          <w:bCs/>
          <w:color w:val="auto"/>
          <w:sz w:val="21"/>
          <w:szCs w:val="21"/>
          <w:lang w:val="en-US" w:eastAsia="zh-CN"/>
        </w:rPr>
        <w:t>2.2常温保存箱</w:t>
      </w:r>
    </w:p>
    <w:p w14:paraId="51729858">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2.2.1存量要求：要求单台存量不少于1000支（以50 mL离心管规格计）。每支标准品以矩阵分布形式存放，位置精确到存储单元内所有定位点。每个点位带独立指示灯。为满足不同标准品规格存储要求，单个抽屉可最大支持60个点位独立定位识别；</w:t>
      </w:r>
    </w:p>
    <w:p w14:paraId="542C293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2.2.2存储单元：每个存储单元内部具备至少10个由系统独立控制的电子锁控存储单元，每个存储单元内部放置定位存放板，以便于划分权限，精确管理；</w:t>
      </w:r>
    </w:p>
    <w:p w14:paraId="0783913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2.2.3监控装置：可清晰拍摄各个存储单元存储情况的及操作情况。监控装置采用分段式监控，拍摄领用、归还整个过程，并将录像与每条操作记录绑定，方便后期溯源查找；</w:t>
      </w:r>
    </w:p>
    <w:p w14:paraId="1C5146C5">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2.2.4光学扫描设备：配备精准到点位的检测设备，搭配二维码或条形码扫描设备，可实现点对点物资实时盘查功能；</w:t>
      </w:r>
    </w:p>
    <w:p w14:paraId="44DEFFC2">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2.2.5安全性：双锁结构设计,自带暗锁，同时可用挂锁，具备多重保护功能；</w:t>
      </w:r>
    </w:p>
    <w:p w14:paraId="7D6FCDF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2.2.6报警功能：开门报警,长时间开门不关具有报警功能；断电报警,异常断电报警功能；报警信息可通过短信、电话、钉钉灯提醒。</w:t>
      </w:r>
    </w:p>
    <w:p w14:paraId="0A9241D8">
      <w:pPr>
        <w:pageBreakBefore w:val="0"/>
        <w:kinsoku/>
        <w:wordWrap/>
        <w:overflowPunct/>
        <w:topLinePunct w:val="0"/>
        <w:bidi w:val="0"/>
        <w:spacing w:line="320" w:lineRule="exact"/>
        <w:ind w:firstLine="422" w:firstLineChars="200"/>
        <w:outlineLvl w:val="1"/>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2.3冷藏保存箱</w:t>
      </w:r>
    </w:p>
    <w:p w14:paraId="25EB656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2.3.1温控要求：制冷系统温控范围为2℃～20℃；</w:t>
      </w:r>
    </w:p>
    <w:p w14:paraId="4F938B3D">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2.3.2存量要求：要求单台存量不小于1000支（以50 mL离心管规格计）。每支标准品以矩阵分布形式存放，位置精确到存储单元内所有定位点。每个点位带独立指示灯。为满足不同标准品规格存储要求，单个抽屉可最大支持60个点位独立定位识别；</w:t>
      </w:r>
    </w:p>
    <w:p w14:paraId="046DF07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2.3.3存储单元：每个存储单元内部具备至少10个由系统独立控制的电子锁控存储单元，每个存储单元内部放置定位存放板，以便于划分权限，精确管理；</w:t>
      </w:r>
    </w:p>
    <w:p w14:paraId="3A2C2C5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2.3.4风道结构：风道结构可保证每个存储单元获得同等风量，温控范围为2℃～20℃，保证各个存储单元内部的温度均匀度≤±0.5℃，温度波动度≤±0.5℃；</w:t>
      </w:r>
    </w:p>
    <w:p w14:paraId="3A08512D">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2.3.5报警功能：具备高温报警,当温度高于设定温度的极限值,会自动报警；具备低温报警,当温度低于设定温度的极限值,会自动报警；开门报警,长时间开门不关具有报警功能；断电报警,异常断电报警功能；报警信息可通过短信、电话、钉钉灯提醒；</w:t>
      </w:r>
    </w:p>
    <w:p w14:paraId="128268A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2.3.6.监控装置：可清晰拍摄各个存储单元存储情况的及操作情况。监控装置采用分段式监控，拍摄领用、归还整个过程，并将录像与每条操作记录绑定，方便后期溯源查找；</w:t>
      </w:r>
    </w:p>
    <w:p w14:paraId="4812452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2.3.7光学扫描设备：配备精准到点位的检测设备，搭配二维码或条形码扫描设备，可实现点对点物资实时盘查功能；</w:t>
      </w:r>
    </w:p>
    <w:p w14:paraId="76A629AC">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2.3.8安全性：双锁结构设计,自带暗锁，同时可用挂锁，具备多重保护功能</w:t>
      </w:r>
      <w:r>
        <w:rPr>
          <w:rFonts w:hint="eastAsia" w:ascii="宋体" w:hAnsi="宋体" w:eastAsia="宋体" w:cs="宋体"/>
          <w:color w:val="auto"/>
          <w:sz w:val="21"/>
          <w:szCs w:val="21"/>
        </w:rPr>
        <w:t>。</w:t>
      </w:r>
    </w:p>
    <w:p w14:paraId="224C0594">
      <w:pPr>
        <w:pageBreakBefore w:val="0"/>
        <w:kinsoku/>
        <w:wordWrap/>
        <w:overflowPunct/>
        <w:topLinePunct w:val="0"/>
        <w:bidi w:val="0"/>
        <w:spacing w:line="320" w:lineRule="exact"/>
        <w:ind w:firstLine="422" w:firstLineChars="200"/>
        <w:outlineLvl w:val="1"/>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2.4双控温保存箱</w:t>
      </w:r>
    </w:p>
    <w:p w14:paraId="7FF2B221">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2.4.1温控要求：冷藏层温控范围为2℃～8℃，冷冻层温控范围为-20℃～ -26℃，温度设置精度≤0.1℃；</w:t>
      </w:r>
    </w:p>
    <w:p w14:paraId="4F6D706A">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2.4.2存量要求：单台存量不少于500支（以50 mL离心管规格计）。每支标准品以矩阵分布形式存放，可满足不同规格尺寸标准品的存储条件；</w:t>
      </w:r>
    </w:p>
    <w:p w14:paraId="1AC86CAA">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2.4.3存储单元：每个存储单元内部具备至少10个由系统独立控制的电子锁控存储单元，每个存储单元内部放置定位存放板，以便于划分权限，精确管理；</w:t>
      </w:r>
    </w:p>
    <w:p w14:paraId="3A62D124">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2.4.4风道结构：风道结构可保证每个存储单元获得同等风量，保证各个存储单元内部的温度均匀度≤±1.0℃，温度波动值≤±1.0℃；</w:t>
      </w:r>
    </w:p>
    <w:p w14:paraId="66FB42B9">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2.4.5报警功能：具备高温报警,当温度高于设定温度的极限值,会自动报警；具备低温报警,当温度低于设定温度的极限值,会自动报警；开门报警,长时间开门不关具有报警功能；断电报警,异常断电报警功能；报警信息可通过短信、电话、钉钉灯提醒；</w:t>
      </w:r>
    </w:p>
    <w:p w14:paraId="13B91603">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2.4.6安全性：双锁结构设计,自带暗锁，同时可用挂锁，具备多重保护功能。</w:t>
      </w:r>
    </w:p>
    <w:p w14:paraId="63744D32">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2.4.7光学扫描设备：配备精准到点位的检测设备，搭配二维码或条形码扫描设备，可实现点对点物资实时盘查功能；</w:t>
      </w:r>
    </w:p>
    <w:p w14:paraId="0BD8D43E">
      <w:pPr>
        <w:pageBreakBefore w:val="0"/>
        <w:kinsoku/>
        <w:wordWrap/>
        <w:overflowPunct/>
        <w:topLinePunct w:val="0"/>
        <w:bidi w:val="0"/>
        <w:spacing w:line="320" w:lineRule="exact"/>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2.4.8监控装置：可清晰拍摄各个存储单元存储情况的及操作情况。监控装置采用分段式监控，拍摄领用、归还整个过程，并将录像与每条操作记录绑定，方便后期溯源查找</w:t>
      </w:r>
      <w:r>
        <w:rPr>
          <w:rFonts w:hint="eastAsia" w:ascii="宋体" w:hAnsi="宋体" w:eastAsia="宋体" w:cs="宋体"/>
          <w:color w:val="auto"/>
          <w:sz w:val="21"/>
          <w:szCs w:val="21"/>
          <w:lang w:eastAsia="zh-CN"/>
        </w:rPr>
        <w:t>。</w:t>
      </w:r>
    </w:p>
    <w:p w14:paraId="4E44A201">
      <w:pPr>
        <w:pageBreakBefore w:val="0"/>
        <w:numPr>
          <w:ilvl w:val="0"/>
          <w:numId w:val="9"/>
        </w:numPr>
        <w:kinsoku/>
        <w:wordWrap/>
        <w:overflowPunct/>
        <w:topLinePunct w:val="0"/>
        <w:bidi w:val="0"/>
        <w:spacing w:line="320" w:lineRule="exact"/>
        <w:outlineLvl w:val="0"/>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软件参数</w:t>
      </w:r>
    </w:p>
    <w:p w14:paraId="2257240D">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1.实验室库房管理：可自定义建立实验室各个库房信息，图形化模拟各库房内柜体结构，自定义柜体名称、层数、层号等信息，自定义存储各单元内结构，建立直观的库房模拟架构，精确显示位置，绑定实体智能柜子ID，实现物联管控</w:t>
      </w:r>
      <w:r>
        <w:rPr>
          <w:rFonts w:hint="eastAsia" w:ascii="宋体" w:hAnsi="宋体" w:eastAsia="宋体" w:cs="宋体"/>
          <w:color w:val="auto"/>
          <w:sz w:val="21"/>
          <w:szCs w:val="21"/>
          <w:lang w:eastAsia="zh-CN"/>
        </w:rPr>
        <w:t>；</w:t>
      </w:r>
    </w:p>
    <w:p w14:paraId="69FFAB27">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2.人员管理：可自定义配置实验室人员组织架构</w:t>
      </w:r>
      <w:r>
        <w:rPr>
          <w:rFonts w:hint="eastAsia" w:ascii="宋体" w:hAnsi="宋体" w:eastAsia="宋体" w:cs="宋体"/>
          <w:color w:val="auto"/>
          <w:sz w:val="21"/>
          <w:szCs w:val="21"/>
          <w:lang w:val="en-US" w:eastAsia="zh-CN"/>
        </w:rPr>
        <w:t>和</w:t>
      </w:r>
      <w:r>
        <w:rPr>
          <w:rFonts w:hint="eastAsia" w:ascii="宋体" w:hAnsi="宋体" w:eastAsia="宋体" w:cs="宋体"/>
          <w:color w:val="auto"/>
          <w:sz w:val="21"/>
          <w:szCs w:val="21"/>
        </w:rPr>
        <w:t>权限，</w:t>
      </w:r>
      <w:r>
        <w:rPr>
          <w:rFonts w:hint="eastAsia" w:ascii="宋体" w:hAnsi="宋体" w:eastAsia="宋体" w:cs="宋体"/>
          <w:color w:val="auto"/>
          <w:sz w:val="21"/>
          <w:szCs w:val="21"/>
          <w:lang w:val="en-US" w:eastAsia="zh-CN"/>
        </w:rPr>
        <w:t>组织架构层级不少于3级，</w:t>
      </w:r>
      <w:r>
        <w:rPr>
          <w:rFonts w:hint="eastAsia" w:ascii="宋体" w:hAnsi="宋体" w:eastAsia="宋体" w:cs="宋体"/>
          <w:color w:val="auto"/>
          <w:sz w:val="21"/>
          <w:szCs w:val="21"/>
        </w:rPr>
        <w:t>进行人员账号</w:t>
      </w:r>
      <w:r>
        <w:rPr>
          <w:rFonts w:hint="eastAsia" w:ascii="宋体" w:hAnsi="宋体" w:eastAsia="宋体" w:cs="宋体"/>
          <w:color w:val="auto"/>
          <w:sz w:val="21"/>
          <w:szCs w:val="21"/>
          <w:lang w:val="en-US" w:eastAsia="zh-CN"/>
        </w:rPr>
        <w:t>和使用权限</w:t>
      </w:r>
      <w:r>
        <w:rPr>
          <w:rFonts w:hint="eastAsia" w:ascii="宋体" w:hAnsi="宋体" w:eastAsia="宋体" w:cs="宋体"/>
          <w:color w:val="auto"/>
          <w:sz w:val="21"/>
          <w:szCs w:val="21"/>
        </w:rPr>
        <w:t>分配，支持批量导入人员信息，支持人脸识别、账号密码等多种身份识别方式，可实现账号的停用、密码重置、账号人员照片的维护</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账号数量可无限增加</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 xml:space="preserve"> </w:t>
      </w:r>
    </w:p>
    <w:p w14:paraId="37080B46">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.智能化库存预警：临期预警、过期预警、低库存预警、重复申购预警，异常操作报警，可自定义设计预警时效及统计规则，</w:t>
      </w:r>
      <w:r>
        <w:rPr>
          <w:rFonts w:hint="eastAsia" w:ascii="宋体" w:hAnsi="宋体" w:eastAsia="宋体" w:cs="宋体"/>
          <w:color w:val="auto"/>
          <w:sz w:val="21"/>
          <w:szCs w:val="21"/>
          <w:lang w:val="en-US" w:eastAsia="zh-CN"/>
        </w:rPr>
        <w:t>预警信息可通过短信、电话、钉钉灯提醒等实现移动端</w:t>
      </w:r>
      <w:r>
        <w:rPr>
          <w:rFonts w:hint="eastAsia" w:ascii="宋体" w:hAnsi="宋体" w:eastAsia="宋体" w:cs="宋体"/>
          <w:color w:val="auto"/>
          <w:sz w:val="21"/>
          <w:szCs w:val="21"/>
        </w:rPr>
        <w:t>远程报警</w:t>
      </w:r>
      <w:r>
        <w:rPr>
          <w:rFonts w:hint="eastAsia" w:ascii="宋体" w:hAnsi="宋体" w:eastAsia="宋体" w:cs="宋体"/>
          <w:color w:val="auto"/>
          <w:sz w:val="21"/>
          <w:szCs w:val="21"/>
          <w:lang w:eastAsia="zh-CN"/>
        </w:rPr>
        <w:t>；</w:t>
      </w:r>
    </w:p>
    <w:p w14:paraId="4A7B0E35">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.智能监控功能：通过与高清网络摄像头物联，可在web端查看实时监控的同时，具备智能录像功能，利用智能传感器，可实现分条录制各人员针对柜子的操作录像，并与其系统操作记录进行绑定，方便溯源</w:t>
      </w:r>
      <w:r>
        <w:rPr>
          <w:rFonts w:hint="eastAsia" w:ascii="宋体" w:hAnsi="宋体" w:eastAsia="宋体" w:cs="宋体"/>
          <w:color w:val="auto"/>
          <w:sz w:val="21"/>
          <w:szCs w:val="21"/>
          <w:lang w:eastAsia="zh-CN"/>
        </w:rPr>
        <w:t>；</w:t>
      </w:r>
    </w:p>
    <w:p w14:paraId="3019B634">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.统计功能：具备统计功能，记录各种物资的入库台账、使用台账、申购采购台账，可分类筛选并导出所需数据，可生成自定义表单</w:t>
      </w:r>
      <w:r>
        <w:rPr>
          <w:rFonts w:hint="eastAsia" w:ascii="宋体" w:hAnsi="宋体" w:eastAsia="宋体" w:cs="宋体"/>
          <w:color w:val="auto"/>
          <w:sz w:val="21"/>
          <w:szCs w:val="21"/>
          <w:lang w:eastAsia="zh-CN"/>
        </w:rPr>
        <w:t>；</w:t>
      </w:r>
    </w:p>
    <w:p w14:paraId="6D86E72F">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入库：图形化显示各柜体及各存储单元内物品存放情况、位置、状态等信息，存放位置精确到点，支持手动编辑/快速选择/批量导入等多种入库方式；一键扫描标准品证书，绑定电子化证书，批量生成各物品唯一性标识、批量完成入库，自动绑定所有物品信息及人员操作信息</w:t>
      </w:r>
      <w:r>
        <w:rPr>
          <w:rFonts w:hint="eastAsia" w:ascii="宋体" w:hAnsi="宋体" w:eastAsia="宋体" w:cs="宋体"/>
          <w:color w:val="auto"/>
          <w:sz w:val="21"/>
          <w:szCs w:val="21"/>
          <w:lang w:eastAsia="zh-CN"/>
        </w:rPr>
        <w:t>；</w:t>
      </w:r>
    </w:p>
    <w:p w14:paraId="30002F22">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领用：自动身份识别、判断人员权限，支持模糊搜索、多条件组合搜索等多重检索功能，一键定位所需标准品位置、确认后立即开启智能录像功能和全点位实时矩阵跟踪并送出对应存储单元，比对人员预计操作信息，出现异常及时报警，可记录用途，完成领用过程</w:t>
      </w:r>
      <w:r>
        <w:rPr>
          <w:rFonts w:hint="eastAsia" w:ascii="宋体" w:hAnsi="宋体" w:eastAsia="宋体" w:cs="宋体"/>
          <w:color w:val="auto"/>
          <w:sz w:val="21"/>
          <w:szCs w:val="21"/>
          <w:lang w:eastAsia="zh-CN"/>
        </w:rPr>
        <w:t>；</w:t>
      </w:r>
    </w:p>
    <w:p w14:paraId="57DE71D1">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归还：自动识别人员身份后可在系统直接进行归还或者识别物品唯一性标识，确认后立即开启智能录像功能和全点位实时矩阵跟踪并送出对应存储单元，可记录用量，完成归还，对于一次性行使用标准品，领用后系统进行自动核销并记录用量，无需归还</w:t>
      </w:r>
      <w:r>
        <w:rPr>
          <w:rFonts w:hint="eastAsia" w:ascii="宋体" w:hAnsi="宋体" w:eastAsia="宋体" w:cs="宋体"/>
          <w:color w:val="auto"/>
          <w:sz w:val="21"/>
          <w:szCs w:val="21"/>
          <w:lang w:eastAsia="zh-CN"/>
        </w:rPr>
        <w:t>；</w:t>
      </w:r>
    </w:p>
    <w:p w14:paraId="65589369">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特殊管控物品申领审批功能：可自行定义特殊管控物品类别及管控流程，相对应的特殊物品只能储存于相对应的存储单元内，人员操作需通过相应管理权限人员的审核才可正常领用</w:t>
      </w:r>
      <w:r>
        <w:rPr>
          <w:rFonts w:hint="eastAsia" w:ascii="宋体" w:hAnsi="宋体" w:eastAsia="宋体" w:cs="宋体"/>
          <w:color w:val="auto"/>
          <w:sz w:val="21"/>
          <w:szCs w:val="21"/>
          <w:lang w:eastAsia="zh-CN"/>
        </w:rPr>
        <w:t>；</w:t>
      </w:r>
    </w:p>
    <w:p w14:paraId="6656655E">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系统个性化开发需求：</w:t>
      </w:r>
    </w:p>
    <w:p w14:paraId="2BD193EF">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10.1</w:t>
      </w:r>
      <w:r>
        <w:rPr>
          <w:rFonts w:hint="eastAsia" w:ascii="宋体" w:hAnsi="宋体" w:eastAsia="宋体" w:cs="宋体"/>
          <w:color w:val="auto"/>
          <w:sz w:val="21"/>
          <w:szCs w:val="21"/>
        </w:rPr>
        <w:t>要</w:t>
      </w:r>
      <w:r>
        <w:rPr>
          <w:rFonts w:hint="eastAsia" w:ascii="宋体" w:hAnsi="宋体" w:eastAsia="宋体" w:cs="宋体"/>
          <w:color w:val="auto"/>
          <w:sz w:val="21"/>
          <w:szCs w:val="21"/>
          <w:lang w:val="en-US" w:eastAsia="zh-CN"/>
        </w:rPr>
        <w:t>求标准品信息化储存管理系统可以与招标人实验室LIMS系统对接，实现数据交互；（须提供三个LIMS系统对接成功案例，并同时提供终端用户的合同以及由用户使用部门签字和盖章的使用反馈表。</w:t>
      </w:r>
      <w:r>
        <w:rPr>
          <w:rFonts w:hint="eastAsia" w:ascii="宋体" w:hAnsi="宋体" w:eastAsia="宋体" w:cs="宋体"/>
          <w:color w:val="auto"/>
          <w:sz w:val="21"/>
          <w:szCs w:val="21"/>
          <w:lang w:eastAsia="zh-CN"/>
        </w:rPr>
        <w:t>）</w:t>
      </w:r>
    </w:p>
    <w:p w14:paraId="27590D17">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10.2</w:t>
      </w:r>
      <w:r>
        <w:rPr>
          <w:rFonts w:hint="eastAsia" w:ascii="宋体" w:hAnsi="宋体" w:eastAsia="宋体" w:cs="宋体"/>
          <w:color w:val="auto"/>
          <w:sz w:val="21"/>
          <w:szCs w:val="21"/>
        </w:rPr>
        <w:t>要求系统提供本地化框架按需构建，并且提供</w:t>
      </w:r>
      <w:r>
        <w:rPr>
          <w:rFonts w:hint="eastAsia" w:ascii="宋体" w:hAnsi="宋体" w:eastAsia="宋体" w:cs="宋体"/>
          <w:color w:val="auto"/>
          <w:sz w:val="21"/>
          <w:szCs w:val="21"/>
          <w:lang w:val="en-US" w:eastAsia="zh-CN"/>
        </w:rPr>
        <w:t>一</w:t>
      </w:r>
      <w:r>
        <w:rPr>
          <w:rFonts w:hint="eastAsia" w:ascii="宋体" w:hAnsi="宋体" w:eastAsia="宋体" w:cs="宋体"/>
          <w:color w:val="auto"/>
          <w:sz w:val="21"/>
          <w:szCs w:val="21"/>
        </w:rPr>
        <w:t>年免费迭代更新服务</w:t>
      </w:r>
      <w:r>
        <w:rPr>
          <w:rFonts w:hint="eastAsia" w:ascii="宋体" w:hAnsi="宋体" w:eastAsia="宋体" w:cs="宋体"/>
          <w:color w:val="auto"/>
          <w:sz w:val="21"/>
          <w:szCs w:val="21"/>
          <w:lang w:eastAsia="zh-CN"/>
        </w:rPr>
        <w:t>；</w:t>
      </w:r>
    </w:p>
    <w:p w14:paraId="67C66CF1">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10.3投</w:t>
      </w:r>
      <w:r>
        <w:rPr>
          <w:rFonts w:hint="eastAsia" w:ascii="宋体" w:hAnsi="宋体" w:eastAsia="宋体" w:cs="宋体"/>
          <w:color w:val="auto"/>
          <w:sz w:val="21"/>
          <w:szCs w:val="21"/>
        </w:rPr>
        <w:t>标人完成硬件安装和软件部署后，要提供首次库存迁移服务，将</w:t>
      </w:r>
      <w:r>
        <w:rPr>
          <w:rFonts w:hint="eastAsia" w:ascii="宋体" w:hAnsi="宋体" w:eastAsia="宋体" w:cs="宋体"/>
          <w:color w:val="auto"/>
          <w:sz w:val="21"/>
          <w:szCs w:val="21"/>
          <w:lang w:val="en-US" w:eastAsia="zh-CN"/>
        </w:rPr>
        <w:t>采购人</w:t>
      </w:r>
      <w:r>
        <w:rPr>
          <w:rFonts w:hint="eastAsia" w:ascii="宋体" w:hAnsi="宋体" w:eastAsia="宋体" w:cs="宋体"/>
          <w:color w:val="auto"/>
          <w:sz w:val="21"/>
          <w:szCs w:val="21"/>
        </w:rPr>
        <w:t>现有标准品整理存入矩阵式物联标准品储存舱中，并培训</w:t>
      </w:r>
      <w:r>
        <w:rPr>
          <w:rFonts w:hint="eastAsia" w:ascii="宋体" w:hAnsi="宋体" w:eastAsia="宋体" w:cs="宋体"/>
          <w:color w:val="auto"/>
          <w:sz w:val="21"/>
          <w:szCs w:val="21"/>
          <w:lang w:val="en-US" w:eastAsia="zh-CN"/>
        </w:rPr>
        <w:t>招标人</w:t>
      </w:r>
      <w:r>
        <w:rPr>
          <w:rFonts w:hint="eastAsia" w:ascii="宋体" w:hAnsi="宋体" w:eastAsia="宋体" w:cs="宋体"/>
          <w:color w:val="auto"/>
          <w:sz w:val="21"/>
          <w:szCs w:val="21"/>
        </w:rPr>
        <w:t>相关使用人员熟练操作</w:t>
      </w:r>
      <w:r>
        <w:rPr>
          <w:rFonts w:hint="eastAsia" w:ascii="宋体" w:hAnsi="宋体" w:eastAsia="宋体" w:cs="宋体"/>
          <w:color w:val="auto"/>
          <w:sz w:val="21"/>
          <w:szCs w:val="21"/>
          <w:lang w:eastAsia="zh-CN"/>
        </w:rPr>
        <w:t>；</w:t>
      </w:r>
    </w:p>
    <w:p w14:paraId="3CF3808F">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★11.双软证书:系统应具备符合T/SIA003-2019《软件产品评估标准》,评估为软件产品的证书及系统开发厂家应具备符合;T/SIA002-2019《软件产品评估标准》,评估为软件企业的证书；(须提供双软证书作为证明材料）</w:t>
      </w:r>
    </w:p>
    <w:p w14:paraId="258D0067">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outlineLvl w:val="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系统</w:t>
      </w:r>
      <w:r>
        <w:rPr>
          <w:rFonts w:hint="eastAsia" w:ascii="宋体" w:hAnsi="宋体" w:eastAsia="宋体" w:cs="宋体"/>
          <w:color w:val="auto"/>
          <w:sz w:val="21"/>
          <w:szCs w:val="21"/>
          <w:lang w:val="en-US" w:eastAsia="zh-CN"/>
        </w:rPr>
        <w:t>具备</w:t>
      </w:r>
      <w:r>
        <w:rPr>
          <w:rFonts w:hint="eastAsia" w:ascii="宋体" w:hAnsi="宋体" w:eastAsia="宋体" w:cs="宋体"/>
          <w:color w:val="auto"/>
          <w:sz w:val="21"/>
          <w:szCs w:val="21"/>
        </w:rPr>
        <w:t>必要的安全保护措施，防止病毒感染、黑客攻击，防雷击、过载、 断电和人为破坏</w:t>
      </w:r>
      <w:r>
        <w:rPr>
          <w:rFonts w:hint="eastAsia" w:ascii="宋体" w:hAnsi="宋体" w:eastAsia="宋体" w:cs="宋体"/>
          <w:color w:val="auto"/>
          <w:sz w:val="21"/>
          <w:szCs w:val="21"/>
          <w:lang w:val="en-US" w:eastAsia="zh-CN"/>
        </w:rPr>
        <w:t>等；软件系统应具备信息安全测试报告。（须提供具备CMA标识的第三方检测报告）</w:t>
      </w:r>
    </w:p>
    <w:p w14:paraId="2729BE65">
      <w:pPr>
        <w:pStyle w:val="114"/>
        <w:pageBreakBefore w:val="0"/>
        <w:numPr>
          <w:ilvl w:val="0"/>
          <w:numId w:val="0"/>
        </w:numPr>
        <w:kinsoku/>
        <w:wordWrap/>
        <w:overflowPunct/>
        <w:topLinePunct w:val="0"/>
        <w:bidi w:val="0"/>
        <w:spacing w:line="320" w:lineRule="exact"/>
        <w:outlineLvl w:val="0"/>
        <w:rPr>
          <w:rFonts w:hint="eastAsia" w:ascii="宋体" w:hAnsi="宋体" w:eastAsia="宋体" w:cs="宋体"/>
          <w:b/>
          <w:color w:val="auto"/>
          <w:sz w:val="21"/>
          <w:szCs w:val="21"/>
          <w:lang w:eastAsia="zh-CN"/>
        </w:rPr>
      </w:pPr>
    </w:p>
    <w:p w14:paraId="781CE9A4">
      <w:pPr>
        <w:pStyle w:val="114"/>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422" w:firstLineChars="200"/>
        <w:jc w:val="left"/>
        <w:textAlignment w:val="auto"/>
        <w:outlineLvl w:val="0"/>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lang w:val="en-US" w:eastAsia="zh-CN"/>
        </w:rPr>
        <w:t>四</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lang w:val="en-US" w:eastAsia="zh-CN"/>
        </w:rPr>
        <w:t>配置清单</w:t>
      </w:r>
    </w:p>
    <w:p w14:paraId="13B4AA13">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标准品信息化储存管理系统</w:t>
      </w:r>
      <w:r>
        <w:rPr>
          <w:rFonts w:hint="eastAsia" w:ascii="宋体" w:hAnsi="宋体" w:eastAsia="宋体" w:cs="宋体"/>
          <w:color w:val="auto"/>
          <w:sz w:val="21"/>
          <w:szCs w:val="21"/>
        </w:rPr>
        <w:t xml:space="preserve">     1套</w:t>
      </w:r>
    </w:p>
    <w:p w14:paraId="60D89DF8">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操控平台</w:t>
      </w:r>
      <w:r>
        <w:rPr>
          <w:rFonts w:hint="eastAsia" w:ascii="宋体" w:hAnsi="宋体" w:eastAsia="宋体" w:cs="宋体"/>
          <w:color w:val="auto"/>
          <w:sz w:val="21"/>
          <w:szCs w:val="21"/>
        </w:rPr>
        <w:t xml:space="preserve">                     1套</w:t>
      </w:r>
    </w:p>
    <w:p w14:paraId="25F2F760">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常温保存箱</w:t>
      </w:r>
      <w:r>
        <w:rPr>
          <w:rFonts w:hint="eastAsia" w:ascii="宋体" w:hAnsi="宋体" w:eastAsia="宋体" w:cs="宋体"/>
          <w:color w:val="auto"/>
          <w:sz w:val="21"/>
          <w:szCs w:val="21"/>
        </w:rPr>
        <w:t xml:space="preserve">                   1套</w:t>
      </w:r>
    </w:p>
    <w:p w14:paraId="2B1590A1">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冷藏保存箱</w:t>
      </w:r>
      <w:r>
        <w:rPr>
          <w:rFonts w:hint="eastAsia" w:ascii="宋体" w:hAnsi="宋体" w:eastAsia="宋体" w:cs="宋体"/>
          <w:color w:val="auto"/>
          <w:sz w:val="21"/>
          <w:szCs w:val="21"/>
        </w:rPr>
        <w:t xml:space="preserve">                   1套</w:t>
      </w:r>
    </w:p>
    <w:p w14:paraId="2B320AB4">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双控温保存箱</w:t>
      </w:r>
      <w:r>
        <w:rPr>
          <w:rFonts w:hint="eastAsia" w:ascii="宋体" w:hAnsi="宋体" w:eastAsia="宋体" w:cs="宋体"/>
          <w:color w:val="auto"/>
          <w:sz w:val="21"/>
          <w:szCs w:val="21"/>
        </w:rPr>
        <w:t xml:space="preserve">                 1套</w:t>
      </w:r>
    </w:p>
    <w:p w14:paraId="1962CABF">
      <w:pPr>
        <w:pStyle w:val="114"/>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left"/>
        <w:textAlignment w:val="auto"/>
        <w:outlineLvl w:val="0"/>
        <w:rPr>
          <w:rFonts w:hint="eastAsia" w:ascii="宋体" w:hAnsi="宋体" w:eastAsia="宋体" w:cs="宋体"/>
          <w:b/>
          <w:color w:val="auto"/>
          <w:sz w:val="21"/>
          <w:szCs w:val="21"/>
          <w:lang w:eastAsia="zh-CN"/>
        </w:rPr>
      </w:pPr>
    </w:p>
    <w:p w14:paraId="2E39A4F3">
      <w:pPr>
        <w:pStyle w:val="114"/>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422" w:firstLineChars="200"/>
        <w:jc w:val="left"/>
        <w:textAlignment w:val="auto"/>
        <w:outlineLvl w:val="0"/>
        <w:rPr>
          <w:rFonts w:hint="eastAsia" w:ascii="宋体" w:hAnsi="宋体" w:eastAsia="宋体" w:cs="宋体"/>
          <w:b/>
          <w:color w:val="auto"/>
          <w:sz w:val="21"/>
          <w:szCs w:val="21"/>
        </w:rPr>
      </w:pP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lang w:val="en-US" w:eastAsia="zh-CN"/>
        </w:rPr>
        <w:t>五</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售后服务</w:t>
      </w:r>
    </w:p>
    <w:p w14:paraId="7AE51BE6">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rPr>
      </w:pPr>
      <w:r>
        <w:rPr>
          <w:rFonts w:hint="eastAsia" w:ascii="宋体" w:hAnsi="宋体" w:eastAsia="宋体" w:cs="宋体"/>
          <w:color w:val="auto"/>
          <w:lang w:eastAsia="zh-CN"/>
        </w:rPr>
        <w:t>（</w:t>
      </w:r>
      <w:r>
        <w:rPr>
          <w:rFonts w:hint="eastAsia" w:ascii="宋体" w:hAnsi="宋体" w:eastAsia="宋体" w:cs="宋体"/>
          <w:color w:val="auto"/>
          <w:lang w:val="en-US" w:eastAsia="zh-CN"/>
        </w:rPr>
        <w:t>1</w:t>
      </w:r>
      <w:r>
        <w:rPr>
          <w:rFonts w:hint="eastAsia" w:ascii="宋体" w:hAnsi="宋体" w:eastAsia="宋体" w:cs="宋体"/>
          <w:color w:val="auto"/>
          <w:lang w:eastAsia="zh-CN"/>
        </w:rPr>
        <w:t>）</w:t>
      </w:r>
      <w:r>
        <w:rPr>
          <w:rFonts w:hint="eastAsia" w:ascii="宋体" w:hAnsi="宋体" w:eastAsia="宋体" w:cs="宋体"/>
          <w:color w:val="auto"/>
        </w:rPr>
        <w:t>质保期：设备整体质保期</w:t>
      </w:r>
      <w:r>
        <w:rPr>
          <w:rFonts w:hint="eastAsia" w:ascii="宋体" w:hAnsi="宋体" w:eastAsia="宋体" w:cs="宋体"/>
          <w:color w:val="auto"/>
          <w:lang w:val="en-US" w:eastAsia="zh-CN"/>
        </w:rPr>
        <w:t>两</w:t>
      </w:r>
      <w:r>
        <w:rPr>
          <w:rFonts w:hint="eastAsia" w:ascii="宋体" w:hAnsi="宋体" w:eastAsia="宋体" w:cs="宋体"/>
          <w:color w:val="auto"/>
        </w:rPr>
        <w:t>年，自设备验收合格之日起计算</w:t>
      </w:r>
      <w:r>
        <w:rPr>
          <w:rFonts w:hint="eastAsia" w:ascii="宋体" w:hAnsi="宋体" w:eastAsia="宋体" w:cs="宋体"/>
          <w:color w:val="auto"/>
          <w:lang w:eastAsia="zh-CN"/>
        </w:rPr>
        <w:t>，</w:t>
      </w:r>
      <w:r>
        <w:rPr>
          <w:rFonts w:hint="eastAsia" w:ascii="宋体" w:hAnsi="宋体" w:eastAsia="宋体" w:cs="宋体"/>
          <w:color w:val="auto"/>
        </w:rPr>
        <w:t>质保期内供应商应对由于制造或材料缺陷而发生的损失负责；</w:t>
      </w:r>
    </w:p>
    <w:p w14:paraId="47096E7D">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lang w:eastAsia="zh-CN"/>
        </w:rPr>
      </w:pPr>
      <w:r>
        <w:rPr>
          <w:rFonts w:hint="eastAsia" w:ascii="宋体" w:hAnsi="宋体" w:eastAsia="宋体" w:cs="宋体"/>
          <w:color w:val="auto"/>
          <w:lang w:eastAsia="zh-CN"/>
        </w:rPr>
        <w:t>（</w:t>
      </w:r>
      <w:r>
        <w:rPr>
          <w:rFonts w:hint="eastAsia" w:ascii="宋体" w:hAnsi="宋体" w:eastAsia="宋体" w:cs="宋体"/>
          <w:color w:val="auto"/>
          <w:lang w:val="en-US" w:eastAsia="zh-CN"/>
        </w:rPr>
        <w:t>2</w:t>
      </w:r>
      <w:r>
        <w:rPr>
          <w:rFonts w:hint="eastAsia" w:ascii="宋体" w:hAnsi="宋体" w:eastAsia="宋体" w:cs="宋体"/>
          <w:color w:val="auto"/>
          <w:lang w:eastAsia="zh-CN"/>
        </w:rPr>
        <w:t>）</w:t>
      </w:r>
      <w:r>
        <w:rPr>
          <w:rFonts w:hint="eastAsia" w:ascii="宋体" w:hAnsi="宋体" w:eastAsia="宋体" w:cs="宋体"/>
          <w:color w:val="auto"/>
        </w:rPr>
        <w:t>售后服务：提供7×24技术支持热线， 24小时内解决问题；不能当场修复的，提供备品、备件或备机等措施，以保证采购单位的正常使用</w:t>
      </w:r>
      <w:r>
        <w:rPr>
          <w:rFonts w:hint="eastAsia" w:ascii="宋体" w:hAnsi="宋体" w:eastAsia="宋体" w:cs="宋体"/>
          <w:color w:val="auto"/>
          <w:lang w:eastAsia="zh-CN"/>
        </w:rPr>
        <w:t>；</w:t>
      </w:r>
    </w:p>
    <w:p w14:paraId="6C380CBA">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hint="eastAsia" w:ascii="宋体" w:hAnsi="宋体" w:eastAsia="宋体" w:cs="宋体"/>
          <w:color w:val="auto"/>
          <w:lang w:eastAsia="zh-CN"/>
        </w:rPr>
      </w:pPr>
      <w:r>
        <w:rPr>
          <w:rFonts w:hint="eastAsia" w:ascii="宋体" w:hAnsi="宋体" w:eastAsia="宋体" w:cs="宋体"/>
          <w:color w:val="auto"/>
          <w:lang w:eastAsia="zh-CN"/>
        </w:rPr>
        <w:t>（</w:t>
      </w:r>
      <w:r>
        <w:rPr>
          <w:rFonts w:hint="eastAsia" w:ascii="宋体" w:hAnsi="宋体" w:eastAsia="宋体" w:cs="宋体"/>
          <w:color w:val="auto"/>
          <w:lang w:val="en-US" w:eastAsia="zh-CN"/>
        </w:rPr>
        <w:t>3</w:t>
      </w:r>
      <w:r>
        <w:rPr>
          <w:rFonts w:hint="eastAsia" w:ascii="宋体" w:hAnsi="宋体" w:eastAsia="宋体" w:cs="宋体"/>
          <w:color w:val="auto"/>
          <w:lang w:eastAsia="zh-CN"/>
        </w:rPr>
        <w:t>）</w:t>
      </w:r>
      <w:r>
        <w:rPr>
          <w:rFonts w:hint="eastAsia" w:ascii="宋体" w:hAnsi="宋体" w:eastAsia="宋体" w:cs="宋体"/>
          <w:color w:val="auto"/>
        </w:rPr>
        <w:t>提供日常操作，保养与管理，常见故障排除，紧急情况处理等专业培训</w:t>
      </w:r>
      <w:r>
        <w:rPr>
          <w:rFonts w:hint="eastAsia" w:ascii="宋体" w:hAnsi="宋体" w:eastAsia="宋体" w:cs="宋体"/>
          <w:color w:val="auto"/>
          <w:lang w:eastAsia="zh-CN"/>
        </w:rPr>
        <w:t>，</w:t>
      </w:r>
      <w:r>
        <w:rPr>
          <w:rFonts w:hint="eastAsia" w:ascii="宋体" w:hAnsi="宋体" w:eastAsia="宋体" w:cs="宋体"/>
          <w:color w:val="auto"/>
        </w:rPr>
        <w:t>培训应采取课堂讲解和操作训练相结合的方法</w:t>
      </w:r>
      <w:r>
        <w:rPr>
          <w:rFonts w:hint="eastAsia" w:ascii="宋体" w:hAnsi="宋体" w:eastAsia="宋体" w:cs="宋体"/>
          <w:color w:val="auto"/>
          <w:lang w:eastAsia="zh-CN"/>
        </w:rPr>
        <w:t>；</w:t>
      </w:r>
    </w:p>
    <w:p w14:paraId="0D1C46F6">
      <w:pPr>
        <w:pStyle w:val="114"/>
        <w:keepNext w:val="0"/>
        <w:keepLines w:val="0"/>
        <w:pageBreakBefore w:val="0"/>
        <w:widowControl w:val="0"/>
        <w:kinsoku/>
        <w:wordWrap/>
        <w:overflowPunct/>
        <w:topLinePunct w:val="0"/>
        <w:autoSpaceDE/>
        <w:autoSpaceDN/>
        <w:bidi w:val="0"/>
        <w:adjustRightInd/>
        <w:snapToGrid/>
        <w:spacing w:line="320" w:lineRule="exact"/>
        <w:ind w:left="0" w:firstLine="420" w:firstLineChars="200"/>
        <w:jc w:val="left"/>
        <w:textAlignment w:val="auto"/>
        <w:rPr>
          <w:rFonts w:ascii="Times New Roman" w:hAnsi="Calibri" w:eastAsia="宋体" w:cs="Times New Roman"/>
          <w:b/>
          <w:bCs/>
          <w:color w:val="auto"/>
          <w:kern w:val="0"/>
        </w:rPr>
      </w:pPr>
      <w:r>
        <w:rPr>
          <w:rFonts w:hint="eastAsia" w:ascii="宋体" w:hAnsi="宋体" w:eastAsia="宋体" w:cs="宋体"/>
          <w:color w:val="auto"/>
          <w:lang w:eastAsia="zh-CN"/>
        </w:rPr>
        <w:t>（</w:t>
      </w:r>
      <w:r>
        <w:rPr>
          <w:rFonts w:hint="eastAsia" w:ascii="宋体" w:hAnsi="宋体" w:eastAsia="宋体" w:cs="宋体"/>
          <w:color w:val="auto"/>
          <w:lang w:val="en-US" w:eastAsia="zh-CN"/>
        </w:rPr>
        <w:t>4</w:t>
      </w:r>
      <w:r>
        <w:rPr>
          <w:rFonts w:hint="eastAsia" w:ascii="宋体" w:hAnsi="宋体" w:eastAsia="宋体" w:cs="宋体"/>
          <w:color w:val="auto"/>
          <w:lang w:eastAsia="zh-CN"/>
        </w:rPr>
        <w:t>）</w:t>
      </w:r>
      <w:r>
        <w:rPr>
          <w:rFonts w:hint="eastAsia" w:ascii="宋体" w:hAnsi="宋体" w:eastAsia="宋体" w:cs="宋体"/>
          <w:color w:val="auto"/>
        </w:rPr>
        <w:t>如</w:t>
      </w:r>
      <w:r>
        <w:rPr>
          <w:rFonts w:hint="eastAsia" w:ascii="宋体" w:hAnsi="宋体" w:eastAsia="宋体" w:cs="宋体"/>
          <w:color w:val="auto"/>
          <w:lang w:val="en-US" w:eastAsia="zh-CN"/>
        </w:rPr>
        <w:t>因</w:t>
      </w:r>
      <w:r>
        <w:rPr>
          <w:rFonts w:hint="eastAsia" w:ascii="宋体" w:hAnsi="宋体" w:eastAsia="宋体" w:cs="宋体"/>
          <w:color w:val="auto"/>
        </w:rPr>
        <w:t>质量问题</w:t>
      </w:r>
      <w:r>
        <w:rPr>
          <w:rFonts w:hint="eastAsia" w:ascii="宋体" w:hAnsi="宋体" w:eastAsia="宋体" w:cs="宋体"/>
          <w:color w:val="auto"/>
          <w:lang w:val="en-US" w:eastAsia="zh-CN"/>
        </w:rPr>
        <w:t>导致产品验收不合格，</w:t>
      </w:r>
      <w:r>
        <w:rPr>
          <w:rFonts w:hint="eastAsia" w:ascii="宋体" w:hAnsi="宋体" w:eastAsia="宋体" w:cs="宋体"/>
          <w:color w:val="auto"/>
        </w:rPr>
        <w:t>供方负责包退、包换，因此而涉及的全部违约责任和费用由供应方承担。</w:t>
      </w:r>
    </w:p>
    <w:p w14:paraId="54C63DB3">
      <w:pPr>
        <w:pageBreakBefore w:val="0"/>
        <w:kinsoku/>
        <w:wordWrap/>
        <w:overflowPunct/>
        <w:topLinePunct w:val="0"/>
        <w:bidi w:val="0"/>
        <w:spacing w:line="320" w:lineRule="exact"/>
        <w:ind w:firstLine="422" w:firstLineChars="200"/>
        <w:rPr>
          <w:rFonts w:ascii="Times New Roman" w:hAnsi="Calibri" w:eastAsia="宋体" w:cs="Times New Roman"/>
          <w:b/>
          <w:bCs/>
          <w:color w:val="auto"/>
          <w:kern w:val="0"/>
        </w:rPr>
      </w:pPr>
    </w:p>
    <w:p w14:paraId="268AF797">
      <w:pPr>
        <w:snapToGrid w:val="0"/>
        <w:spacing w:line="312" w:lineRule="auto"/>
        <w:ind w:firstLine="422" w:firstLineChars="200"/>
        <w:rPr>
          <w:rFonts w:hint="eastAsia" w:ascii="宋体" w:hAnsi="宋体" w:eastAsia="宋体" w:cs="宋体"/>
          <w:b/>
          <w:bCs/>
          <w:color w:val="auto"/>
          <w:sz w:val="21"/>
          <w:szCs w:val="21"/>
        </w:rPr>
      </w:pPr>
      <w:r>
        <w:rPr>
          <w:rFonts w:hint="eastAsia" w:ascii="Times New Roman" w:hAnsi="Calibri" w:eastAsia="宋体" w:cs="Times New Roman"/>
          <w:b/>
          <w:bCs/>
          <w:color w:val="auto"/>
          <w:kern w:val="0"/>
          <w:lang w:val="en-US" w:eastAsia="zh-CN"/>
        </w:rPr>
        <w:t xml:space="preserve"> 注：</w:t>
      </w:r>
      <w:r>
        <w:rPr>
          <w:rFonts w:hint="eastAsia" w:ascii="宋体" w:hAnsi="宋体" w:eastAsia="宋体" w:cs="宋体"/>
          <w:color w:val="auto"/>
          <w:sz w:val="21"/>
          <w:szCs w:val="21"/>
          <w:lang w:val="en-US" w:eastAsia="zh-CN"/>
        </w:rPr>
        <w:t>“</w:t>
      </w:r>
      <w:r>
        <w:rPr>
          <w:rFonts w:hint="eastAsia" w:ascii="宋体" w:hAnsi="宋体" w:eastAsia="宋体" w:cs="宋体"/>
          <w:b/>
          <w:color w:val="auto"/>
          <w:sz w:val="21"/>
          <w:szCs w:val="21"/>
        </w:rPr>
        <w:t>★</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条款为</w:t>
      </w:r>
      <w:r>
        <w:rPr>
          <w:rFonts w:hint="eastAsia" w:ascii="宋体" w:hAnsi="宋体" w:eastAsia="宋体" w:cs="宋体"/>
          <w:b/>
          <w:color w:val="auto"/>
          <w:sz w:val="21"/>
          <w:szCs w:val="21"/>
          <w:lang w:val="en-US" w:eastAsia="zh-CN"/>
        </w:rPr>
        <w:t>实质性</w:t>
      </w:r>
      <w:r>
        <w:rPr>
          <w:rFonts w:hint="eastAsia" w:ascii="宋体" w:hAnsi="宋体" w:eastAsia="宋体" w:cs="宋体"/>
          <w:b/>
          <w:color w:val="auto"/>
          <w:sz w:val="21"/>
          <w:szCs w:val="21"/>
        </w:rPr>
        <w:t>性能指标，必须满足；</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条款为重要性能指标，</w:t>
      </w:r>
      <w:r>
        <w:rPr>
          <w:rFonts w:hint="eastAsia" w:ascii="宋体" w:hAnsi="宋体" w:eastAsia="宋体" w:cs="宋体"/>
          <w:b/>
          <w:color w:val="auto"/>
          <w:sz w:val="21"/>
          <w:szCs w:val="21"/>
          <w:lang w:eastAsia="zh-CN"/>
        </w:rPr>
        <w:t>如达到可相应加分</w:t>
      </w:r>
      <w:r>
        <w:rPr>
          <w:rFonts w:hint="eastAsia" w:ascii="宋体" w:hAnsi="宋体" w:eastAsia="宋体" w:cs="宋体"/>
          <w:b/>
          <w:color w:val="auto"/>
          <w:sz w:val="21"/>
          <w:szCs w:val="21"/>
        </w:rPr>
        <w:t>。</w:t>
      </w:r>
      <w:r>
        <w:rPr>
          <w:rFonts w:hint="eastAsia" w:ascii="宋体" w:hAnsi="宋体" w:eastAsia="宋体" w:cs="宋体"/>
          <w:b/>
          <w:color w:val="auto"/>
          <w:sz w:val="21"/>
          <w:szCs w:val="21"/>
          <w:lang w:val="en-US" w:eastAsia="zh-CN"/>
        </w:rPr>
        <w:t xml:space="preserve"> </w:t>
      </w:r>
    </w:p>
    <w:p w14:paraId="5D6F2B86">
      <w:pPr>
        <w:spacing w:line="312" w:lineRule="auto"/>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设备须</w:t>
      </w:r>
      <w:r>
        <w:rPr>
          <w:rFonts w:hint="eastAsia" w:ascii="宋体" w:hAnsi="宋体" w:eastAsia="宋体" w:cs="宋体"/>
          <w:b/>
          <w:bCs/>
          <w:color w:val="auto"/>
          <w:sz w:val="21"/>
          <w:szCs w:val="21"/>
        </w:rPr>
        <w:t>提供原厂商授权函</w:t>
      </w:r>
      <w:r>
        <w:rPr>
          <w:rFonts w:hint="eastAsia" w:ascii="宋体" w:hAnsi="宋体" w:eastAsia="宋体" w:cs="宋体"/>
          <w:b/>
          <w:bCs/>
          <w:color w:val="auto"/>
          <w:sz w:val="21"/>
          <w:szCs w:val="21"/>
          <w:lang w:val="en-US" w:eastAsia="zh-CN"/>
        </w:rPr>
        <w:t>和</w:t>
      </w:r>
      <w:r>
        <w:rPr>
          <w:rFonts w:hint="eastAsia" w:ascii="宋体" w:hAnsi="宋体" w:eastAsia="宋体" w:cs="宋体"/>
          <w:b/>
          <w:bCs/>
          <w:color w:val="auto"/>
          <w:sz w:val="21"/>
          <w:szCs w:val="21"/>
        </w:rPr>
        <w:t>原厂商售后服务承诺，中标公告期限届满之日内（7个工作日内）提供原厂商的授权函或原厂商售后服务承诺函原件（加盖公章）；如无法提供作无效标处理，并追究相关责任。</w:t>
      </w:r>
    </w:p>
    <w:p w14:paraId="7F3AB625">
      <w:pPr>
        <w:spacing w:line="312" w:lineRule="auto"/>
        <w:ind w:firstLine="422" w:firstLineChars="200"/>
        <w:rPr>
          <w:rFonts w:hint="eastAsia" w:ascii="宋体" w:hAnsi="宋体" w:eastAsia="宋体" w:cs="宋体"/>
          <w:b/>
          <w:color w:val="auto"/>
          <w:sz w:val="21"/>
          <w:szCs w:val="21"/>
          <w:lang w:val="en-US" w:eastAsia="zh-CN"/>
        </w:rPr>
      </w:pPr>
      <w:r>
        <w:rPr>
          <w:rFonts w:hint="eastAsia" w:ascii="宋体" w:hAnsi="宋体" w:eastAsia="宋体" w:cs="宋体"/>
          <w:b/>
          <w:bCs/>
          <w:i w:val="0"/>
          <w:iCs w:val="0"/>
          <w:caps w:val="0"/>
          <w:color w:val="auto"/>
          <w:spacing w:val="0"/>
          <w:sz w:val="21"/>
          <w:szCs w:val="21"/>
          <w:shd w:val="clear" w:color="auto" w:fill="FFFFFF"/>
          <w:lang w:val="en-US" w:eastAsia="zh-CN"/>
        </w:rPr>
        <w:t xml:space="preserve"> 如</w:t>
      </w:r>
      <w:r>
        <w:rPr>
          <w:rFonts w:hint="eastAsia" w:ascii="宋体" w:hAnsi="宋体" w:eastAsia="宋体" w:cs="宋体"/>
          <w:b/>
          <w:bCs/>
          <w:i w:val="0"/>
          <w:iCs w:val="0"/>
          <w:caps w:val="0"/>
          <w:color w:val="auto"/>
          <w:spacing w:val="0"/>
          <w:sz w:val="21"/>
          <w:szCs w:val="21"/>
          <w:shd w:val="clear" w:color="auto" w:fill="FFFFFF"/>
        </w:rPr>
        <w:t>属于国家强制性产品认证的，中标后（中标公告发布之日起）15个工作日内提供强制性产品认证证书，否则视为放弃中标（成交）资格，并承担相关承任。</w:t>
      </w:r>
    </w:p>
    <w:p w14:paraId="6FC5B3DF">
      <w:pPr>
        <w:spacing w:line="312" w:lineRule="auto"/>
        <w:ind w:firstLine="422" w:firstLineChars="200"/>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lang w:val="en-US" w:eastAsia="zh-CN"/>
        </w:rPr>
        <w:t xml:space="preserve"> </w:t>
      </w:r>
      <w:r>
        <w:rPr>
          <w:rFonts w:hint="eastAsia" w:ascii="宋体" w:hAnsi="宋体" w:eastAsia="宋体" w:cs="宋体"/>
          <w:b/>
          <w:bCs/>
          <w:color w:val="auto"/>
          <w:kern w:val="0"/>
          <w:sz w:val="21"/>
          <w:szCs w:val="21"/>
        </w:rPr>
        <w:t>所提供的货物必须为合格产品。投标供应商应在投标文件中说明本次投标产品的技术参数是否与官网上公开的技术参数一致，如不一致，要求明确哪些参数不一致，不一致的原因以及使用何种技术可以达到投标产品参数。</w:t>
      </w:r>
    </w:p>
    <w:p w14:paraId="78BBDB7C">
      <w:pPr>
        <w:pageBreakBefore w:val="0"/>
        <w:kinsoku/>
        <w:wordWrap/>
        <w:overflowPunct/>
        <w:topLinePunct w:val="0"/>
        <w:bidi w:val="0"/>
        <w:snapToGrid w:val="0"/>
        <w:spacing w:line="320" w:lineRule="exact"/>
        <w:rPr>
          <w:rFonts w:hint="eastAsia" w:ascii="宋体" w:hAnsi="宋体" w:eastAsia="宋体" w:cs="Times New Roman"/>
          <w:b/>
          <w:color w:val="auto"/>
          <w:sz w:val="24"/>
        </w:rPr>
      </w:pPr>
    </w:p>
    <w:p w14:paraId="06503314">
      <w:pPr>
        <w:pageBreakBefore w:val="0"/>
        <w:kinsoku/>
        <w:wordWrap/>
        <w:overflowPunct/>
        <w:topLinePunct w:val="0"/>
        <w:bidi w:val="0"/>
        <w:snapToGrid w:val="0"/>
        <w:spacing w:line="320" w:lineRule="exact"/>
        <w:rPr>
          <w:rFonts w:hint="eastAsia" w:ascii="宋体" w:hAnsi="宋体" w:eastAsia="宋体" w:cs="宋体"/>
          <w:color w:val="auto"/>
          <w:szCs w:val="21"/>
        </w:rPr>
      </w:pPr>
      <w:r>
        <w:rPr>
          <w:rFonts w:hint="eastAsia" w:ascii="宋体" w:hAnsi="宋体" w:eastAsia="宋体" w:cs="Times New Roman"/>
          <w:b/>
          <w:color w:val="auto"/>
          <w:sz w:val="24"/>
          <w:lang w:val="en-US" w:eastAsia="zh-CN"/>
        </w:rPr>
        <w:t>三</w:t>
      </w:r>
      <w:r>
        <w:rPr>
          <w:rFonts w:hint="eastAsia" w:ascii="宋体" w:hAnsi="宋体" w:eastAsia="宋体" w:cs="Times New Roman"/>
          <w:b/>
          <w:color w:val="auto"/>
          <w:sz w:val="24"/>
        </w:rPr>
        <w:t>、系统安装、测试与验收要求</w:t>
      </w:r>
    </w:p>
    <w:p w14:paraId="3CCF19EE">
      <w:pPr>
        <w:pageBreakBefore w:val="0"/>
        <w:kinsoku/>
        <w:wordWrap/>
        <w:overflowPunct/>
        <w:topLinePunct w:val="0"/>
        <w:bidi w:val="0"/>
        <w:snapToGrid w:val="0"/>
        <w:spacing w:line="320" w:lineRule="exact"/>
        <w:rPr>
          <w:rFonts w:hint="eastAsia" w:ascii="宋体" w:hAnsi="宋体" w:eastAsia="宋体" w:cs="Times New Roman"/>
          <w:b/>
          <w:color w:val="auto"/>
        </w:rPr>
      </w:pPr>
      <w:r>
        <w:rPr>
          <w:rFonts w:hint="eastAsia" w:ascii="宋体" w:hAnsi="宋体" w:eastAsia="宋体" w:cs="Times New Roman"/>
          <w:b/>
          <w:color w:val="auto"/>
        </w:rPr>
        <w:t>1. 安装</w:t>
      </w:r>
    </w:p>
    <w:p w14:paraId="26D83CC2">
      <w:pPr>
        <w:pageBreakBefore w:val="0"/>
        <w:kinsoku/>
        <w:wordWrap/>
        <w:overflowPunct/>
        <w:topLinePunct w:val="0"/>
        <w:bidi w:val="0"/>
        <w:adjustRightInd w:val="0"/>
        <w:snapToGrid w:val="0"/>
        <w:spacing w:line="320" w:lineRule="exact"/>
        <w:ind w:firstLine="412" w:firstLineChars="200"/>
        <w:rPr>
          <w:rFonts w:hint="eastAsia" w:ascii="宋体" w:hAnsi="宋体" w:eastAsia="宋体" w:cs="Times New Roman"/>
          <w:color w:val="auto"/>
        </w:rPr>
      </w:pPr>
      <w:r>
        <w:rPr>
          <w:rFonts w:hint="eastAsia" w:ascii="宋体" w:hAnsi="宋体" w:eastAsia="宋体" w:cs="Times New Roman"/>
          <w:color w:val="auto"/>
          <w:spacing w:val="-2"/>
          <w:position w:val="-2"/>
        </w:rPr>
        <w:t>投标人必须提供标书中采购的所有设备安装和维护服务的全</w:t>
      </w:r>
      <w:r>
        <w:rPr>
          <w:rFonts w:hint="eastAsia" w:ascii="宋体" w:hAnsi="宋体" w:eastAsia="宋体" w:cs="Times New Roman"/>
          <w:color w:val="auto"/>
        </w:rPr>
        <w:t>部内容，并在需要的时候配合完成整个设备的调试工作。</w:t>
      </w:r>
    </w:p>
    <w:p w14:paraId="3EBAB7CD">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所有产品均须由投标人送货上门并负责安装调试，采购人不再支付任何费用；</w:t>
      </w:r>
    </w:p>
    <w:p w14:paraId="7EC16CEB">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自安装工作一开始，投标人应允许采购单位的工作人员一起参与现场的系统安装、测试、诊断及解决遇到的问题等各项工作；</w:t>
      </w:r>
    </w:p>
    <w:p w14:paraId="7E75829F">
      <w:pPr>
        <w:pageBreakBefore w:val="0"/>
        <w:kinsoku/>
        <w:wordWrap/>
        <w:overflowPunct/>
        <w:topLinePunct w:val="0"/>
        <w:bidi w:val="0"/>
        <w:snapToGrid w:val="0"/>
        <w:spacing w:line="320" w:lineRule="exact"/>
        <w:rPr>
          <w:rFonts w:hint="eastAsia" w:ascii="宋体" w:hAnsi="宋体" w:eastAsia="宋体" w:cs="Times New Roman"/>
          <w:b/>
          <w:color w:val="auto"/>
        </w:rPr>
      </w:pPr>
      <w:r>
        <w:rPr>
          <w:rFonts w:hint="eastAsia" w:ascii="宋体" w:hAnsi="宋体" w:eastAsia="宋体" w:cs="Times New Roman"/>
          <w:b/>
          <w:color w:val="auto"/>
        </w:rPr>
        <w:t>2. 安装地点</w:t>
      </w:r>
    </w:p>
    <w:p w14:paraId="20F429F8">
      <w:pPr>
        <w:pageBreakBefore w:val="0"/>
        <w:kinsoku/>
        <w:wordWrap/>
        <w:overflowPunct/>
        <w:topLinePunct w:val="0"/>
        <w:bidi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szCs w:val="21"/>
        </w:rPr>
        <w:t>舟山市生态环境局</w:t>
      </w:r>
      <w:r>
        <w:rPr>
          <w:rFonts w:hint="eastAsia" w:ascii="宋体" w:hAnsi="宋体" w:eastAsia="宋体" w:cs="Times New Roman"/>
          <w:bCs/>
          <w:color w:val="auto"/>
        </w:rPr>
        <w:t>指</w:t>
      </w:r>
      <w:r>
        <w:rPr>
          <w:rFonts w:hint="eastAsia" w:ascii="宋体" w:hAnsi="宋体" w:eastAsia="宋体" w:cs="Times New Roman"/>
          <w:color w:val="auto"/>
        </w:rPr>
        <w:t>定地点</w:t>
      </w:r>
    </w:p>
    <w:p w14:paraId="3AB209AC">
      <w:pPr>
        <w:pageBreakBefore w:val="0"/>
        <w:kinsoku/>
        <w:wordWrap/>
        <w:overflowPunct/>
        <w:topLinePunct w:val="0"/>
        <w:bidi w:val="0"/>
        <w:snapToGrid w:val="0"/>
        <w:spacing w:line="320" w:lineRule="exact"/>
        <w:rPr>
          <w:rFonts w:hint="eastAsia" w:ascii="宋体" w:hAnsi="宋体" w:eastAsia="宋体" w:cs="Times New Roman"/>
          <w:b/>
          <w:color w:val="auto"/>
        </w:rPr>
      </w:pPr>
      <w:r>
        <w:rPr>
          <w:rFonts w:hint="eastAsia" w:ascii="宋体" w:hAnsi="宋体" w:eastAsia="宋体" w:cs="Times New Roman"/>
          <w:b/>
          <w:color w:val="auto"/>
        </w:rPr>
        <w:t>3. 验收标准</w:t>
      </w:r>
    </w:p>
    <w:p w14:paraId="41308684">
      <w:pPr>
        <w:pageBreakBefore w:val="0"/>
        <w:kinsoku/>
        <w:wordWrap/>
        <w:overflowPunct/>
        <w:topLinePunct w:val="0"/>
        <w:bidi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3.1投标人必须派技术人员到现场安装调试，安装完毕投标人派专业人员检查安装质量。</w:t>
      </w:r>
    </w:p>
    <w:p w14:paraId="2D5ACBE3">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b/>
          <w:color w:val="auto"/>
        </w:rPr>
      </w:pPr>
      <w:r>
        <w:rPr>
          <w:rFonts w:hint="eastAsia" w:ascii="宋体" w:hAnsi="宋体" w:eastAsia="宋体" w:cs="Times New Roman"/>
          <w:color w:val="auto"/>
        </w:rPr>
        <w:t>3.2 投标人必须为使用单位设计、安装、调试、维修、使用提供足够的技术资料和技术保障。提供有关证明，如产地、出厂合格证、质量保证书和测试合格证等。</w:t>
      </w:r>
    </w:p>
    <w:p w14:paraId="67CBFE0C">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3.3 若产品验收时有关技术参数不能满足招标文件技术要求，使用单位有权要求更换，同时有权要求索赔，所产生的一切费用（含所有检验费用）由中标人全部承担。</w:t>
      </w:r>
    </w:p>
    <w:p w14:paraId="6596ABA9">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3.4系统测试要求</w:t>
      </w:r>
    </w:p>
    <w:p w14:paraId="404FD17C">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系统安装完成后，由设备使用单位进行设备或网络测试，投标人必须给予充分的配合。</w:t>
      </w:r>
    </w:p>
    <w:p w14:paraId="4315A37D">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3.5 单项测试</w:t>
      </w:r>
    </w:p>
    <w:p w14:paraId="72A75D8B">
      <w:pPr>
        <w:pageBreakBefore w:val="0"/>
        <w:kinsoku/>
        <w:wordWrap/>
        <w:overflowPunct/>
        <w:topLinePunct w:val="0"/>
        <w:bidi w:val="0"/>
        <w:adjustRightInd w:val="0"/>
        <w:snapToGrid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单项产品安装完成后，由投标人进行产品自身性能的测试。</w:t>
      </w:r>
    </w:p>
    <w:p w14:paraId="070F782F">
      <w:pPr>
        <w:pageBreakBefore w:val="0"/>
        <w:widowControl/>
        <w:kinsoku/>
        <w:wordWrap/>
        <w:overflowPunct/>
        <w:topLinePunct w:val="0"/>
        <w:autoSpaceDE w:val="0"/>
        <w:autoSpaceDN w:val="0"/>
        <w:bidi w:val="0"/>
        <w:snapToGrid w:val="0"/>
        <w:spacing w:line="320" w:lineRule="exact"/>
        <w:ind w:right="-53" w:rightChars="-25"/>
        <w:textAlignment w:val="bottom"/>
        <w:rPr>
          <w:rFonts w:hint="eastAsia" w:ascii="宋体" w:hAnsi="宋体" w:eastAsia="宋体" w:cs="Times New Roman"/>
          <w:b/>
          <w:color w:val="auto"/>
          <w:sz w:val="24"/>
        </w:rPr>
      </w:pPr>
    </w:p>
    <w:p w14:paraId="6B9CA37F">
      <w:pPr>
        <w:widowControl/>
        <w:autoSpaceDE w:val="0"/>
        <w:autoSpaceDN w:val="0"/>
        <w:snapToGrid w:val="0"/>
        <w:spacing w:line="312" w:lineRule="auto"/>
        <w:ind w:right="-53" w:rightChars="-25"/>
        <w:textAlignment w:val="bottom"/>
        <w:rPr>
          <w:rFonts w:ascii="宋体" w:hAnsi="宋体" w:eastAsia="宋体"/>
          <w:b/>
          <w:color w:val="auto"/>
          <w:sz w:val="24"/>
        </w:rPr>
      </w:pPr>
      <w:r>
        <w:rPr>
          <w:rFonts w:hint="eastAsia" w:ascii="Times New Roman" w:hAnsi="Times New Roman" w:eastAsia="宋体"/>
          <w:b/>
          <w:color w:val="auto"/>
          <w:sz w:val="24"/>
        </w:rPr>
        <w:t>四、售后服务与培训要求</w:t>
      </w:r>
    </w:p>
    <w:p w14:paraId="1B4CE256">
      <w:pPr>
        <w:snapToGrid w:val="0"/>
        <w:spacing w:line="312" w:lineRule="auto"/>
        <w:ind w:firstLine="207" w:firstLineChars="98"/>
        <w:rPr>
          <w:rFonts w:ascii="宋体" w:hAnsi="宋体" w:eastAsia="宋体"/>
          <w:b/>
          <w:color w:val="auto"/>
          <w:szCs w:val="21"/>
        </w:rPr>
      </w:pPr>
      <w:r>
        <w:rPr>
          <w:rFonts w:ascii="宋体" w:hAnsi="宋体" w:eastAsia="宋体"/>
          <w:b/>
          <w:color w:val="auto"/>
          <w:szCs w:val="21"/>
        </w:rPr>
        <w:t>1.</w:t>
      </w:r>
      <w:r>
        <w:rPr>
          <w:rFonts w:hint="eastAsia" w:ascii="宋体" w:hAnsi="宋体" w:eastAsia="宋体"/>
          <w:b/>
          <w:color w:val="auto"/>
          <w:szCs w:val="21"/>
        </w:rPr>
        <w:t>售后服务</w:t>
      </w:r>
    </w:p>
    <w:p w14:paraId="4D2D8009">
      <w:pPr>
        <w:snapToGrid w:val="0"/>
        <w:spacing w:line="312" w:lineRule="auto"/>
        <w:ind w:firstLine="525" w:firstLineChars="250"/>
        <w:rPr>
          <w:rFonts w:ascii="宋体" w:hAnsi="宋体" w:eastAsia="宋体"/>
          <w:color w:val="auto"/>
        </w:rPr>
      </w:pPr>
      <w:r>
        <w:rPr>
          <w:rFonts w:ascii="宋体" w:hAnsi="宋体" w:eastAsia="宋体"/>
          <w:color w:val="auto"/>
        </w:rPr>
        <w:t xml:space="preserve">1.1 </w:t>
      </w:r>
      <w:r>
        <w:rPr>
          <w:rFonts w:hint="eastAsia" w:ascii="宋体" w:hAnsi="宋体" w:eastAsia="宋体"/>
          <w:color w:val="auto"/>
        </w:rPr>
        <w:t>质量保证期及备件供应</w:t>
      </w:r>
    </w:p>
    <w:p w14:paraId="33CB2CE9">
      <w:pPr>
        <w:snapToGrid w:val="0"/>
        <w:spacing w:line="312" w:lineRule="auto"/>
        <w:ind w:firstLine="525" w:firstLineChars="250"/>
        <w:rPr>
          <w:rFonts w:ascii="宋体" w:hAnsi="宋体" w:eastAsia="宋体"/>
          <w:color w:val="auto"/>
        </w:rPr>
      </w:pPr>
      <w:r>
        <w:rPr>
          <w:rFonts w:hint="eastAsia" w:ascii="宋体" w:hAnsi="宋体" w:eastAsia="宋体"/>
          <w:color w:val="auto"/>
        </w:rPr>
        <w:t>自仪器设备最终验收合格之日起，投标人按招标文件要求提供免费保修服务。</w:t>
      </w:r>
    </w:p>
    <w:p w14:paraId="20B8AE89">
      <w:pPr>
        <w:snapToGrid w:val="0"/>
        <w:spacing w:line="312" w:lineRule="auto"/>
        <w:ind w:firstLine="525" w:firstLineChars="250"/>
        <w:rPr>
          <w:rFonts w:ascii="宋体" w:hAnsi="宋体" w:eastAsia="宋体"/>
          <w:color w:val="auto"/>
        </w:rPr>
      </w:pPr>
      <w:r>
        <w:rPr>
          <w:rFonts w:ascii="宋体" w:hAnsi="宋体" w:eastAsia="宋体"/>
          <w:color w:val="auto"/>
        </w:rPr>
        <w:t xml:space="preserve">1.2 </w:t>
      </w:r>
      <w:r>
        <w:rPr>
          <w:rFonts w:hint="eastAsia" w:ascii="宋体" w:hAnsi="宋体" w:eastAsia="宋体"/>
          <w:color w:val="auto"/>
        </w:rPr>
        <w:t>培训计划</w:t>
      </w:r>
    </w:p>
    <w:p w14:paraId="0E4315AD">
      <w:pPr>
        <w:snapToGrid w:val="0"/>
        <w:spacing w:line="312" w:lineRule="auto"/>
        <w:ind w:firstLine="525" w:firstLineChars="250"/>
        <w:rPr>
          <w:rFonts w:ascii="宋体" w:hAnsi="宋体" w:eastAsia="宋体"/>
          <w:color w:val="auto"/>
        </w:rPr>
      </w:pPr>
      <w:r>
        <w:rPr>
          <w:rFonts w:hint="eastAsia" w:ascii="宋体" w:hAnsi="宋体" w:eastAsia="宋体"/>
          <w:color w:val="auto"/>
        </w:rPr>
        <w:t>中选人除安装调试时为用户进行免费操作培训外，还必须提供详细免费国内集中培训方案，以保证用户能熟练使用该系统。</w:t>
      </w:r>
    </w:p>
    <w:p w14:paraId="07AC2F4E">
      <w:pPr>
        <w:snapToGrid w:val="0"/>
        <w:spacing w:line="312" w:lineRule="auto"/>
        <w:ind w:firstLine="525" w:firstLineChars="250"/>
        <w:rPr>
          <w:rFonts w:ascii="宋体" w:hAnsi="宋体" w:eastAsia="宋体"/>
          <w:color w:val="auto"/>
        </w:rPr>
      </w:pPr>
      <w:r>
        <w:rPr>
          <w:rFonts w:ascii="宋体" w:hAnsi="宋体" w:eastAsia="宋体"/>
          <w:color w:val="auto"/>
        </w:rPr>
        <w:t xml:space="preserve">1.3 </w:t>
      </w:r>
      <w:r>
        <w:rPr>
          <w:rFonts w:hint="eastAsia" w:ascii="宋体" w:hAnsi="宋体" w:eastAsia="宋体"/>
          <w:color w:val="auto"/>
        </w:rPr>
        <w:t>技术服务</w:t>
      </w:r>
    </w:p>
    <w:p w14:paraId="2BBF64D9">
      <w:pPr>
        <w:snapToGrid w:val="0"/>
        <w:spacing w:line="312" w:lineRule="auto"/>
        <w:ind w:firstLine="420" w:firstLineChars="200"/>
        <w:rPr>
          <w:rFonts w:ascii="宋体" w:hAnsi="宋体" w:eastAsia="宋体"/>
          <w:color w:val="auto"/>
        </w:rPr>
      </w:pPr>
      <w:r>
        <w:rPr>
          <w:rFonts w:hint="eastAsia" w:ascii="宋体" w:hAnsi="宋体" w:eastAsia="宋体"/>
          <w:color w:val="auto"/>
        </w:rPr>
        <w:t>提供快捷、周到、规范的技术服务，仪器设备或系统出现故障时，维修人员在接到通知后应立即应答，并在规定时间内到达现场，及时排除故障。</w:t>
      </w:r>
    </w:p>
    <w:p w14:paraId="4DBDF44D">
      <w:pPr>
        <w:snapToGrid w:val="0"/>
        <w:spacing w:line="312" w:lineRule="auto"/>
        <w:ind w:firstLine="525" w:firstLineChars="250"/>
        <w:rPr>
          <w:rFonts w:ascii="宋体" w:hAnsi="宋体" w:eastAsia="宋体"/>
          <w:color w:val="auto"/>
        </w:rPr>
      </w:pPr>
      <w:r>
        <w:rPr>
          <w:rFonts w:ascii="宋体" w:hAnsi="宋体" w:eastAsia="宋体"/>
          <w:color w:val="auto"/>
        </w:rPr>
        <w:t xml:space="preserve">1.4 </w:t>
      </w:r>
      <w:r>
        <w:rPr>
          <w:rFonts w:hint="eastAsia" w:ascii="宋体" w:hAnsi="宋体" w:eastAsia="宋体"/>
          <w:color w:val="auto"/>
        </w:rPr>
        <w:t>操作维护手册</w:t>
      </w:r>
    </w:p>
    <w:p w14:paraId="75155B4D">
      <w:pPr>
        <w:snapToGrid w:val="0"/>
        <w:spacing w:line="312" w:lineRule="auto"/>
        <w:ind w:firstLine="525" w:firstLineChars="250"/>
        <w:rPr>
          <w:rFonts w:ascii="宋体" w:hAnsi="宋体" w:eastAsia="宋体"/>
          <w:color w:val="auto"/>
        </w:rPr>
      </w:pPr>
      <w:r>
        <w:rPr>
          <w:rFonts w:hint="eastAsia" w:ascii="宋体" w:hAnsi="宋体" w:eastAsia="宋体"/>
          <w:color w:val="auto"/>
        </w:rPr>
        <w:t>投标人应提供所有仪器设备详细的英文和中文操作手册，详细的系统操作和维护手册，详细的软件使用手册。</w:t>
      </w:r>
    </w:p>
    <w:p w14:paraId="4CA29B53">
      <w:pPr>
        <w:snapToGrid w:val="0"/>
        <w:spacing w:line="312" w:lineRule="auto"/>
        <w:ind w:firstLine="525" w:firstLineChars="250"/>
        <w:rPr>
          <w:rFonts w:ascii="宋体" w:hAnsi="宋体" w:eastAsia="宋体"/>
          <w:color w:val="auto"/>
        </w:rPr>
      </w:pPr>
      <w:r>
        <w:rPr>
          <w:rFonts w:ascii="宋体" w:hAnsi="宋体" w:eastAsia="宋体"/>
          <w:color w:val="auto"/>
        </w:rPr>
        <w:t xml:space="preserve">1.5 </w:t>
      </w:r>
      <w:r>
        <w:rPr>
          <w:rFonts w:hint="eastAsia" w:ascii="宋体" w:hAnsi="宋体" w:eastAsia="宋体"/>
          <w:color w:val="auto"/>
        </w:rPr>
        <w:t>专用工具</w:t>
      </w:r>
    </w:p>
    <w:p w14:paraId="1777A098">
      <w:pPr>
        <w:snapToGrid w:val="0"/>
        <w:spacing w:line="312" w:lineRule="auto"/>
        <w:ind w:firstLine="525" w:firstLineChars="250"/>
        <w:rPr>
          <w:rFonts w:ascii="宋体" w:hAnsi="宋体" w:eastAsia="宋体"/>
          <w:color w:val="auto"/>
        </w:rPr>
      </w:pPr>
      <w:r>
        <w:rPr>
          <w:rFonts w:hint="eastAsia" w:ascii="宋体" w:hAnsi="宋体" w:eastAsia="宋体"/>
          <w:color w:val="auto"/>
        </w:rPr>
        <w:t>投标人应提供完整的专用工具，以便维护、维修所供仪器设备。</w:t>
      </w:r>
    </w:p>
    <w:p w14:paraId="77946AE1">
      <w:pPr>
        <w:snapToGrid w:val="0"/>
        <w:spacing w:line="312" w:lineRule="auto"/>
        <w:ind w:firstLine="207" w:firstLineChars="98"/>
        <w:outlineLvl w:val="0"/>
        <w:rPr>
          <w:rFonts w:ascii="宋体" w:hAnsi="宋体" w:eastAsia="宋体"/>
          <w:b/>
          <w:color w:val="auto"/>
          <w:szCs w:val="21"/>
        </w:rPr>
      </w:pPr>
      <w:bookmarkStart w:id="6" w:name="_Toc172432830"/>
      <w:bookmarkStart w:id="7" w:name="_Toc173749297"/>
      <w:bookmarkStart w:id="8" w:name="_Toc173123575"/>
      <w:bookmarkStart w:id="9" w:name="_Toc213418190"/>
      <w:r>
        <w:rPr>
          <w:rFonts w:ascii="宋体" w:hAnsi="宋体" w:eastAsia="宋体"/>
          <w:b/>
          <w:color w:val="auto"/>
          <w:szCs w:val="21"/>
        </w:rPr>
        <w:t>2</w:t>
      </w:r>
      <w:r>
        <w:rPr>
          <w:rFonts w:hint="eastAsia" w:ascii="宋体" w:hAnsi="宋体" w:eastAsia="宋体"/>
          <w:b/>
          <w:color w:val="auto"/>
          <w:szCs w:val="21"/>
        </w:rPr>
        <w:t>．培训要求</w:t>
      </w:r>
      <w:bookmarkEnd w:id="6"/>
      <w:bookmarkEnd w:id="7"/>
      <w:bookmarkEnd w:id="8"/>
      <w:bookmarkEnd w:id="9"/>
    </w:p>
    <w:p w14:paraId="2C8878DB">
      <w:pPr>
        <w:autoSpaceDE w:val="0"/>
        <w:autoSpaceDN w:val="0"/>
        <w:adjustRightInd w:val="0"/>
        <w:snapToGrid w:val="0"/>
        <w:spacing w:line="312" w:lineRule="auto"/>
        <w:ind w:firstLine="420" w:firstLineChars="200"/>
        <w:outlineLvl w:val="0"/>
        <w:rPr>
          <w:rFonts w:ascii="宋体" w:hAnsi="宋体" w:eastAsia="宋体"/>
          <w:color w:val="auto"/>
          <w:lang w:val="zh-CN"/>
        </w:rPr>
      </w:pPr>
      <w:bookmarkStart w:id="10" w:name="_Toc172432831"/>
      <w:bookmarkStart w:id="11" w:name="_Toc213418191"/>
      <w:bookmarkStart w:id="12" w:name="_Toc173749298"/>
      <w:bookmarkStart w:id="13" w:name="_Toc173123576"/>
      <w:r>
        <w:rPr>
          <w:rFonts w:ascii="宋体" w:hAnsi="宋体" w:eastAsia="宋体"/>
          <w:color w:val="auto"/>
          <w:lang w:val="zh-CN"/>
        </w:rPr>
        <w:t xml:space="preserve">2.1 </w:t>
      </w:r>
      <w:r>
        <w:rPr>
          <w:rFonts w:hint="eastAsia" w:ascii="宋体" w:hAnsi="宋体" w:eastAsia="宋体"/>
          <w:color w:val="auto"/>
          <w:lang w:val="zh-CN"/>
        </w:rPr>
        <w:t>培训总则</w:t>
      </w:r>
      <w:bookmarkEnd w:id="10"/>
      <w:bookmarkEnd w:id="11"/>
      <w:bookmarkEnd w:id="12"/>
      <w:bookmarkEnd w:id="13"/>
    </w:p>
    <w:p w14:paraId="672F98A9">
      <w:pPr>
        <w:autoSpaceDE w:val="0"/>
        <w:autoSpaceDN w:val="0"/>
        <w:adjustRightInd w:val="0"/>
        <w:snapToGrid w:val="0"/>
        <w:spacing w:line="312" w:lineRule="auto"/>
        <w:jc w:val="left"/>
        <w:rPr>
          <w:rFonts w:ascii="宋体" w:hAnsi="宋体" w:eastAsia="宋体"/>
          <w:color w:val="auto"/>
        </w:rPr>
      </w:pPr>
      <w:r>
        <w:rPr>
          <w:rFonts w:ascii="宋体" w:hAnsi="宋体" w:eastAsia="宋体"/>
          <w:color w:val="auto"/>
        </w:rPr>
        <w:t xml:space="preserve">      </w:t>
      </w:r>
      <w:r>
        <w:rPr>
          <w:rFonts w:hint="eastAsia" w:ascii="宋体" w:hAnsi="宋体" w:eastAsia="宋体"/>
          <w:color w:val="auto"/>
        </w:rPr>
        <w:t>投标人</w:t>
      </w:r>
      <w:r>
        <w:rPr>
          <w:rFonts w:hint="eastAsia" w:ascii="MS UI Gothic" w:hAnsi="MS UI Gothic" w:eastAsia="宋体"/>
          <w:color w:val="auto"/>
        </w:rPr>
        <w:t>除安装</w:t>
      </w:r>
      <w:r>
        <w:rPr>
          <w:rFonts w:hint="eastAsia" w:ascii="宋体" w:hAnsi="宋体" w:eastAsia="宋体"/>
          <w:color w:val="auto"/>
        </w:rPr>
        <w:t>调试时为</w:t>
      </w:r>
      <w:r>
        <w:rPr>
          <w:rFonts w:hint="eastAsia" w:ascii="MS UI Gothic" w:hAnsi="MS UI Gothic" w:eastAsia="宋体"/>
          <w:color w:val="auto"/>
        </w:rPr>
        <w:t>用</w:t>
      </w:r>
      <w:r>
        <w:rPr>
          <w:rFonts w:hint="eastAsia" w:ascii="宋体" w:hAnsi="宋体" w:eastAsia="宋体"/>
          <w:color w:val="auto"/>
        </w:rPr>
        <w:t>户进</w:t>
      </w:r>
      <w:r>
        <w:rPr>
          <w:rFonts w:hint="eastAsia" w:ascii="MS UI Gothic" w:hAnsi="MS UI Gothic" w:eastAsia="宋体"/>
          <w:color w:val="auto"/>
        </w:rPr>
        <w:t>行免</w:t>
      </w:r>
      <w:r>
        <w:rPr>
          <w:rFonts w:hint="eastAsia" w:ascii="宋体" w:hAnsi="宋体" w:eastAsia="宋体"/>
          <w:color w:val="auto"/>
        </w:rPr>
        <w:t>费</w:t>
      </w:r>
      <w:r>
        <w:rPr>
          <w:rFonts w:hint="eastAsia" w:ascii="MS UI Gothic" w:hAnsi="MS UI Gothic" w:eastAsia="宋体"/>
          <w:color w:val="auto"/>
        </w:rPr>
        <w:t>操</w:t>
      </w:r>
      <w:r>
        <w:rPr>
          <w:rFonts w:hint="eastAsia" w:ascii="宋体" w:hAnsi="宋体" w:eastAsia="宋体"/>
          <w:color w:val="auto"/>
        </w:rPr>
        <w:t>作培训</w:t>
      </w:r>
      <w:r>
        <w:rPr>
          <w:rFonts w:hint="eastAsia" w:ascii="MS UI Gothic" w:hAnsi="MS UI Gothic" w:eastAsia="宋体"/>
          <w:color w:val="auto"/>
        </w:rPr>
        <w:t>外，</w:t>
      </w:r>
      <w:r>
        <w:rPr>
          <w:rFonts w:hint="eastAsia" w:ascii="宋体" w:hAnsi="宋体" w:eastAsia="宋体"/>
          <w:color w:val="auto"/>
        </w:rPr>
        <w:t>还</w:t>
      </w:r>
      <w:r>
        <w:rPr>
          <w:rFonts w:hint="eastAsia" w:ascii="MS UI Gothic" w:hAnsi="MS UI Gothic" w:eastAsia="宋体"/>
          <w:color w:val="auto"/>
        </w:rPr>
        <w:t>必</w:t>
      </w:r>
      <w:r>
        <w:rPr>
          <w:rFonts w:hint="eastAsia" w:ascii="宋体" w:hAnsi="宋体" w:eastAsia="宋体"/>
          <w:color w:val="auto"/>
        </w:rPr>
        <w:t>须</w:t>
      </w:r>
      <w:r>
        <w:rPr>
          <w:rFonts w:hint="eastAsia" w:ascii="MS UI Gothic" w:hAnsi="MS UI Gothic" w:eastAsia="宋体"/>
          <w:color w:val="auto"/>
        </w:rPr>
        <w:t>提供</w:t>
      </w:r>
      <w:r>
        <w:rPr>
          <w:rFonts w:hint="eastAsia" w:ascii="宋体" w:hAnsi="宋体" w:eastAsia="宋体"/>
          <w:color w:val="auto"/>
        </w:rPr>
        <w:t>详细</w:t>
      </w:r>
      <w:r>
        <w:rPr>
          <w:rFonts w:hint="eastAsia" w:ascii="MS UI Gothic" w:hAnsi="MS UI Gothic" w:eastAsia="宋体"/>
          <w:color w:val="auto"/>
        </w:rPr>
        <w:t>免</w:t>
      </w:r>
      <w:r>
        <w:rPr>
          <w:rFonts w:hint="eastAsia" w:ascii="宋体" w:hAnsi="宋体" w:eastAsia="宋体"/>
          <w:color w:val="auto"/>
        </w:rPr>
        <w:t>费</w:t>
      </w:r>
      <w:r>
        <w:rPr>
          <w:rFonts w:hint="eastAsia" w:ascii="MS UI Gothic" w:hAnsi="MS UI Gothic" w:eastAsia="宋体"/>
          <w:color w:val="auto"/>
        </w:rPr>
        <w:t>培</w:t>
      </w:r>
      <w:r>
        <w:rPr>
          <w:rFonts w:hint="eastAsia" w:ascii="宋体" w:hAnsi="宋体" w:eastAsia="宋体"/>
          <w:color w:val="auto"/>
        </w:rPr>
        <w:t>训</w:t>
      </w:r>
      <w:r>
        <w:rPr>
          <w:rFonts w:hint="eastAsia" w:ascii="MS UI Gothic" w:hAnsi="MS UI Gothic" w:eastAsia="宋体"/>
          <w:color w:val="auto"/>
        </w:rPr>
        <w:t>方案，以保</w:t>
      </w:r>
      <w:r>
        <w:rPr>
          <w:rFonts w:hint="eastAsia" w:ascii="宋体" w:hAnsi="宋体" w:eastAsia="宋体"/>
          <w:color w:val="auto"/>
        </w:rPr>
        <w:t>证</w:t>
      </w:r>
      <w:r>
        <w:rPr>
          <w:rFonts w:hint="eastAsia" w:ascii="MS UI Gothic" w:hAnsi="MS UI Gothic" w:eastAsia="宋体"/>
          <w:color w:val="auto"/>
        </w:rPr>
        <w:t>用</w:t>
      </w:r>
      <w:r>
        <w:rPr>
          <w:rFonts w:hint="eastAsia" w:ascii="宋体" w:hAnsi="宋体" w:eastAsia="宋体"/>
          <w:color w:val="auto"/>
        </w:rPr>
        <w:t>户</w:t>
      </w:r>
      <w:r>
        <w:rPr>
          <w:rFonts w:hint="eastAsia" w:ascii="MS UI Gothic" w:hAnsi="MS UI Gothic" w:eastAsia="宋体"/>
          <w:color w:val="auto"/>
        </w:rPr>
        <w:t>能熟</w:t>
      </w:r>
      <w:r>
        <w:rPr>
          <w:rFonts w:hint="eastAsia" w:ascii="宋体" w:hAnsi="宋体" w:eastAsia="宋体"/>
          <w:color w:val="auto"/>
        </w:rPr>
        <w:t>练</w:t>
      </w:r>
      <w:r>
        <w:rPr>
          <w:rFonts w:hint="eastAsia" w:ascii="MS UI Gothic" w:hAnsi="MS UI Gothic" w:eastAsia="宋体"/>
          <w:color w:val="auto"/>
        </w:rPr>
        <w:t>使用</w:t>
      </w:r>
      <w:r>
        <w:rPr>
          <w:rFonts w:hint="eastAsia" w:ascii="宋体" w:hAnsi="宋体" w:eastAsia="宋体"/>
          <w:color w:val="auto"/>
        </w:rPr>
        <w:t>该</w:t>
      </w:r>
      <w:r>
        <w:rPr>
          <w:rFonts w:hint="eastAsia" w:ascii="MS UI Gothic" w:hAnsi="MS UI Gothic" w:eastAsia="宋体"/>
          <w:color w:val="auto"/>
        </w:rPr>
        <w:t>系</w:t>
      </w:r>
      <w:r>
        <w:rPr>
          <w:rFonts w:hint="eastAsia" w:ascii="宋体" w:hAnsi="宋体" w:eastAsia="宋体"/>
          <w:color w:val="auto"/>
        </w:rPr>
        <w:t>统</w:t>
      </w:r>
      <w:r>
        <w:rPr>
          <w:rFonts w:hint="eastAsia" w:ascii="MS UI Gothic" w:hAnsi="MS UI Gothic" w:eastAsia="宋体"/>
          <w:color w:val="auto"/>
        </w:rPr>
        <w:t>。</w:t>
      </w:r>
    </w:p>
    <w:p w14:paraId="3F2CE93D">
      <w:pPr>
        <w:autoSpaceDE w:val="0"/>
        <w:autoSpaceDN w:val="0"/>
        <w:adjustRightInd w:val="0"/>
        <w:snapToGrid w:val="0"/>
        <w:spacing w:line="312" w:lineRule="auto"/>
        <w:ind w:firstLine="420" w:firstLineChars="200"/>
        <w:jc w:val="left"/>
        <w:outlineLvl w:val="0"/>
        <w:rPr>
          <w:rFonts w:ascii="宋体" w:hAnsi="宋体" w:eastAsia="宋体"/>
          <w:color w:val="auto"/>
          <w:lang w:val="zh-CN"/>
        </w:rPr>
      </w:pPr>
      <w:bookmarkStart w:id="14" w:name="_Toc173123577"/>
      <w:bookmarkStart w:id="15" w:name="_Toc213418192"/>
      <w:bookmarkStart w:id="16" w:name="_Toc173749299"/>
      <w:bookmarkStart w:id="17" w:name="_Toc172432832"/>
      <w:r>
        <w:rPr>
          <w:rFonts w:ascii="宋体" w:hAnsi="宋体" w:eastAsia="宋体"/>
          <w:color w:val="auto"/>
          <w:lang w:val="zh-CN"/>
        </w:rPr>
        <w:t xml:space="preserve">2.2 </w:t>
      </w:r>
      <w:r>
        <w:rPr>
          <w:rFonts w:hint="eastAsia" w:ascii="宋体" w:hAnsi="宋体" w:eastAsia="宋体"/>
          <w:color w:val="auto"/>
          <w:lang w:val="zh-CN"/>
        </w:rPr>
        <w:t>培训费用</w:t>
      </w:r>
      <w:bookmarkEnd w:id="14"/>
      <w:bookmarkEnd w:id="15"/>
      <w:bookmarkEnd w:id="16"/>
      <w:bookmarkEnd w:id="17"/>
    </w:p>
    <w:p w14:paraId="2C0C0C7D">
      <w:pPr>
        <w:autoSpaceDE w:val="0"/>
        <w:autoSpaceDN w:val="0"/>
        <w:adjustRightInd w:val="0"/>
        <w:snapToGrid w:val="0"/>
        <w:spacing w:line="312" w:lineRule="auto"/>
        <w:ind w:firstLine="420" w:firstLineChars="200"/>
        <w:jc w:val="left"/>
        <w:outlineLvl w:val="0"/>
        <w:rPr>
          <w:rFonts w:ascii="宋体" w:hAnsi="宋体" w:eastAsia="宋体"/>
          <w:color w:val="auto"/>
          <w:lang w:val="zh-CN"/>
        </w:rPr>
      </w:pPr>
      <w:r>
        <w:rPr>
          <w:rFonts w:hint="eastAsia" w:ascii="宋体" w:hAnsi="宋体" w:eastAsia="宋体"/>
          <w:color w:val="auto"/>
          <w:lang w:val="zh-CN"/>
        </w:rPr>
        <w:t>所有的培训费用必须计入投标总价。</w:t>
      </w:r>
    </w:p>
    <w:p w14:paraId="6CE8EFB8">
      <w:pPr>
        <w:pageBreakBefore w:val="0"/>
        <w:widowControl/>
        <w:kinsoku/>
        <w:wordWrap/>
        <w:overflowPunct/>
        <w:topLinePunct w:val="0"/>
        <w:autoSpaceDE w:val="0"/>
        <w:autoSpaceDN w:val="0"/>
        <w:bidi w:val="0"/>
        <w:snapToGrid w:val="0"/>
        <w:spacing w:line="320" w:lineRule="exact"/>
        <w:ind w:right="-53" w:rightChars="-25"/>
        <w:textAlignment w:val="bottom"/>
        <w:rPr>
          <w:rFonts w:hint="eastAsia" w:ascii="宋体" w:hAnsi="宋体" w:eastAsia="宋体" w:cs="Times New Roman"/>
          <w:b/>
          <w:color w:val="auto"/>
          <w:sz w:val="24"/>
          <w:lang w:val="en-US" w:eastAsia="zh-CN"/>
        </w:rPr>
      </w:pPr>
    </w:p>
    <w:p w14:paraId="7E80BFAD">
      <w:pPr>
        <w:pageBreakBefore w:val="0"/>
        <w:widowControl/>
        <w:kinsoku/>
        <w:wordWrap/>
        <w:overflowPunct/>
        <w:topLinePunct w:val="0"/>
        <w:autoSpaceDE w:val="0"/>
        <w:autoSpaceDN w:val="0"/>
        <w:bidi w:val="0"/>
        <w:snapToGrid w:val="0"/>
        <w:spacing w:line="320" w:lineRule="exact"/>
        <w:ind w:right="-53" w:rightChars="-25"/>
        <w:textAlignment w:val="bottom"/>
        <w:rPr>
          <w:rFonts w:hint="eastAsia" w:ascii="宋体" w:hAnsi="宋体" w:eastAsia="宋体" w:cs="Times New Roman"/>
          <w:b/>
          <w:color w:val="auto"/>
          <w:sz w:val="24"/>
        </w:rPr>
      </w:pPr>
      <w:r>
        <w:rPr>
          <w:rFonts w:hint="eastAsia" w:ascii="宋体" w:hAnsi="宋体" w:eastAsia="宋体" w:cs="Times New Roman"/>
          <w:b/>
          <w:color w:val="auto"/>
          <w:sz w:val="24"/>
          <w:lang w:val="en-US" w:eastAsia="zh-CN"/>
        </w:rPr>
        <w:t>五、</w:t>
      </w:r>
      <w:r>
        <w:rPr>
          <w:rFonts w:hint="eastAsia" w:ascii="宋体" w:hAnsi="宋体" w:eastAsia="宋体" w:cs="Times New Roman"/>
          <w:b/>
          <w:color w:val="auto"/>
          <w:sz w:val="24"/>
        </w:rPr>
        <w:t>到货要求</w:t>
      </w:r>
    </w:p>
    <w:p w14:paraId="5398127C">
      <w:pPr>
        <w:pageBreakBefore w:val="0"/>
        <w:tabs>
          <w:tab w:val="left" w:pos="624"/>
        </w:tabs>
        <w:kinsoku/>
        <w:wordWrap/>
        <w:overflowPunct/>
        <w:topLinePunct w:val="0"/>
        <w:autoSpaceDE w:val="0"/>
        <w:autoSpaceDN w:val="0"/>
        <w:bidi w:val="0"/>
        <w:adjustRightInd w:val="0"/>
        <w:snapToGrid w:val="0"/>
        <w:spacing w:line="320" w:lineRule="exact"/>
        <w:ind w:firstLine="360"/>
        <w:rPr>
          <w:rFonts w:hint="eastAsia" w:ascii="宋体" w:hAnsi="宋体" w:eastAsia="宋体" w:cs="Times New Roman"/>
          <w:color w:val="auto"/>
          <w:lang w:val="zh-CN"/>
        </w:rPr>
      </w:pPr>
      <w:r>
        <w:rPr>
          <w:rFonts w:hint="eastAsia" w:ascii="宋体" w:hAnsi="宋体" w:eastAsia="宋体" w:cs="Times New Roman"/>
          <w:color w:val="auto"/>
          <w:lang w:val="zh-CN"/>
        </w:rPr>
        <w:t>1.交货期要求</w:t>
      </w:r>
    </w:p>
    <w:p w14:paraId="7ACCB367">
      <w:pPr>
        <w:pageBreakBefore w:val="0"/>
        <w:kinsoku/>
        <w:wordWrap/>
        <w:overflowPunct/>
        <w:topLinePunct w:val="0"/>
        <w:autoSpaceDE w:val="0"/>
        <w:autoSpaceDN w:val="0"/>
        <w:bidi w:val="0"/>
        <w:adjustRightInd w:val="0"/>
        <w:snapToGrid w:val="0"/>
        <w:spacing w:line="320" w:lineRule="exact"/>
        <w:ind w:firstLine="630" w:firstLineChars="299"/>
        <w:rPr>
          <w:rFonts w:hint="default" w:ascii="宋体" w:hAnsi="宋体" w:eastAsia="宋体" w:cs="Times New Roman"/>
          <w:b/>
          <w:bCs/>
          <w:color w:val="auto"/>
          <w:lang w:val="en-US" w:eastAsia="zh-CN"/>
        </w:rPr>
      </w:pPr>
      <w:r>
        <w:rPr>
          <w:rFonts w:hint="eastAsia" w:ascii="宋体" w:hAnsi="宋体" w:eastAsia="宋体" w:cs="Times New Roman"/>
          <w:b/>
          <w:bCs/>
          <w:color w:val="auto"/>
        </w:rPr>
        <w:t>合同</w:t>
      </w:r>
      <w:r>
        <w:rPr>
          <w:rFonts w:hint="eastAsia" w:ascii="宋体" w:hAnsi="宋体" w:eastAsia="宋体" w:cs="Times New Roman"/>
          <w:b/>
          <w:bCs/>
          <w:color w:val="auto"/>
          <w:lang w:val="en-US" w:eastAsia="zh-CN"/>
        </w:rPr>
        <w:t>签订后50天</w:t>
      </w:r>
      <w:r>
        <w:rPr>
          <w:rFonts w:hint="eastAsia" w:ascii="宋体" w:hAnsi="宋体" w:eastAsia="宋体" w:cs="Times New Roman"/>
          <w:b/>
          <w:bCs/>
          <w:color w:val="auto"/>
        </w:rPr>
        <w:t>内完成设备供货、安装、调试。</w:t>
      </w:r>
      <w:r>
        <w:rPr>
          <w:rFonts w:hint="eastAsia" w:ascii="宋体" w:hAnsi="宋体" w:eastAsia="宋体" w:cs="Times New Roman"/>
          <w:b/>
          <w:bCs/>
          <w:color w:val="auto"/>
          <w:lang w:eastAsia="zh-CN"/>
        </w:rPr>
        <w:t>（</w:t>
      </w:r>
      <w:r>
        <w:rPr>
          <w:rFonts w:hint="eastAsia" w:ascii="宋体" w:hAnsi="宋体" w:eastAsia="宋体" w:cs="Times New Roman"/>
          <w:b/>
          <w:bCs/>
          <w:color w:val="auto"/>
          <w:lang w:val="en-US" w:eastAsia="zh-CN"/>
        </w:rPr>
        <w:t>除特殊说明外）</w:t>
      </w:r>
    </w:p>
    <w:p w14:paraId="7FB071A5">
      <w:pPr>
        <w:pageBreakBefore w:val="0"/>
        <w:kinsoku/>
        <w:wordWrap/>
        <w:overflowPunct/>
        <w:topLinePunct w:val="0"/>
        <w:autoSpaceDE w:val="0"/>
        <w:autoSpaceDN w:val="0"/>
        <w:bidi w:val="0"/>
        <w:adjustRightInd w:val="0"/>
        <w:snapToGrid w:val="0"/>
        <w:spacing w:line="320" w:lineRule="exact"/>
        <w:ind w:firstLine="360"/>
        <w:rPr>
          <w:rFonts w:hint="eastAsia" w:ascii="宋体" w:hAnsi="宋体" w:eastAsia="宋体" w:cs="Times New Roman"/>
          <w:color w:val="auto"/>
          <w:lang w:val="zh-CN"/>
        </w:rPr>
      </w:pPr>
      <w:r>
        <w:rPr>
          <w:rFonts w:hint="eastAsia" w:ascii="宋体" w:hAnsi="宋体" w:eastAsia="宋体" w:cs="Times New Roman"/>
          <w:color w:val="auto"/>
          <w:lang w:val="zh-CN"/>
        </w:rPr>
        <w:t>2.交货地点要求</w:t>
      </w:r>
    </w:p>
    <w:p w14:paraId="2B5CF6B3">
      <w:pPr>
        <w:pageBreakBefore w:val="0"/>
        <w:kinsoku/>
        <w:wordWrap/>
        <w:overflowPunct/>
        <w:topLinePunct w:val="0"/>
        <w:autoSpaceDE w:val="0"/>
        <w:autoSpaceDN w:val="0"/>
        <w:bidi w:val="0"/>
        <w:adjustRightInd w:val="0"/>
        <w:snapToGrid w:val="0"/>
        <w:spacing w:line="320" w:lineRule="exact"/>
        <w:ind w:left="1257" w:hanging="480"/>
        <w:rPr>
          <w:rFonts w:hint="eastAsia" w:ascii="宋体" w:hAnsi="宋体" w:eastAsia="宋体" w:cs="Times New Roman"/>
          <w:color w:val="auto"/>
          <w:lang w:val="zh-CN"/>
        </w:rPr>
      </w:pPr>
      <w:r>
        <w:rPr>
          <w:rFonts w:hint="eastAsia" w:ascii="宋体" w:hAnsi="宋体" w:eastAsia="宋体" w:cs="Times New Roman"/>
          <w:color w:val="auto"/>
          <w:lang w:val="zh-CN"/>
        </w:rPr>
        <w:t>2.1 交货地点：使用单位——</w:t>
      </w:r>
      <w:r>
        <w:rPr>
          <w:rFonts w:hint="eastAsia" w:ascii="宋体" w:hAnsi="宋体" w:eastAsia="宋体" w:cs="Times New Roman"/>
          <w:color w:val="auto"/>
          <w:szCs w:val="21"/>
        </w:rPr>
        <w:t>舟山市生态环境局</w:t>
      </w:r>
      <w:r>
        <w:rPr>
          <w:rFonts w:hint="eastAsia" w:ascii="宋体" w:hAnsi="宋体" w:eastAsia="宋体" w:cs="Times New Roman"/>
          <w:color w:val="auto"/>
          <w:lang w:val="zh-CN"/>
        </w:rPr>
        <w:t>指定地点。</w:t>
      </w:r>
    </w:p>
    <w:p w14:paraId="005EDB0E">
      <w:pPr>
        <w:pageBreakBefore w:val="0"/>
        <w:kinsoku/>
        <w:wordWrap/>
        <w:overflowPunct/>
        <w:topLinePunct w:val="0"/>
        <w:bidi w:val="0"/>
        <w:adjustRightInd w:val="0"/>
        <w:snapToGrid w:val="0"/>
        <w:spacing w:line="320" w:lineRule="exact"/>
        <w:ind w:left="1197" w:leftChars="370" w:hanging="420" w:hangingChars="200"/>
        <w:rPr>
          <w:rFonts w:hint="eastAsia" w:eastAsia="宋体"/>
          <w:b/>
          <w:color w:val="auto"/>
          <w:sz w:val="24"/>
        </w:rPr>
      </w:pPr>
      <w:r>
        <w:rPr>
          <w:rFonts w:ascii="Times New Roman" w:hAnsi="Times New Roman" w:eastAsia="宋体" w:cs="Times New Roman"/>
          <w:color w:val="auto"/>
          <w:lang w:val="zh-CN"/>
        </w:rPr>
        <w:t xml:space="preserve">2.2 </w:t>
      </w:r>
      <w:r>
        <w:rPr>
          <w:rFonts w:hint="eastAsia" w:ascii="宋体" w:hAnsi="宋体" w:eastAsia="宋体" w:cs="Times New Roman"/>
          <w:color w:val="auto"/>
        </w:rPr>
        <w:t>投标人须派专业人员将产品送到指定地点，其所有费用由投标人承担。</w:t>
      </w:r>
    </w:p>
    <w:p w14:paraId="6757A769">
      <w:pPr>
        <w:pageBreakBefore w:val="0"/>
        <w:kinsoku/>
        <w:wordWrap/>
        <w:overflowPunct/>
        <w:topLinePunct w:val="0"/>
        <w:bidi w:val="0"/>
        <w:spacing w:line="320" w:lineRule="exact"/>
        <w:outlineLvl w:val="0"/>
        <w:rPr>
          <w:rFonts w:hint="eastAsia" w:eastAsia="宋体"/>
          <w:b/>
          <w:color w:val="auto"/>
          <w:sz w:val="24"/>
          <w:lang w:val="en-US" w:eastAsia="zh-CN"/>
        </w:rPr>
      </w:pPr>
    </w:p>
    <w:p w14:paraId="23858305">
      <w:pPr>
        <w:pageBreakBefore w:val="0"/>
        <w:kinsoku/>
        <w:wordWrap/>
        <w:overflowPunct/>
        <w:topLinePunct w:val="0"/>
        <w:bidi w:val="0"/>
        <w:spacing w:line="320" w:lineRule="exact"/>
        <w:outlineLvl w:val="0"/>
        <w:rPr>
          <w:rFonts w:hint="eastAsia" w:eastAsia="宋体"/>
          <w:b/>
          <w:color w:val="auto"/>
          <w:sz w:val="24"/>
        </w:rPr>
      </w:pPr>
      <w:r>
        <w:rPr>
          <w:rFonts w:hint="eastAsia" w:eastAsia="宋体"/>
          <w:b/>
          <w:color w:val="auto"/>
          <w:sz w:val="24"/>
          <w:lang w:val="en-US" w:eastAsia="zh-CN"/>
        </w:rPr>
        <w:t>六</w:t>
      </w:r>
      <w:r>
        <w:rPr>
          <w:rFonts w:hint="eastAsia" w:eastAsia="宋体"/>
          <w:b/>
          <w:color w:val="auto"/>
          <w:sz w:val="24"/>
        </w:rPr>
        <w:t>、付款方式</w:t>
      </w:r>
    </w:p>
    <w:p w14:paraId="6225B86F">
      <w:pPr>
        <w:pageBreakBefore w:val="0"/>
        <w:kinsoku/>
        <w:wordWrap/>
        <w:overflowPunct/>
        <w:topLinePunct w:val="0"/>
        <w:autoSpaceDE w:val="0"/>
        <w:autoSpaceDN w:val="0"/>
        <w:bidi w:val="0"/>
        <w:adjustRightInd w:val="0"/>
        <w:snapToGrid w:val="0"/>
        <w:spacing w:line="320" w:lineRule="exact"/>
        <w:ind w:firstLine="630" w:firstLineChars="299"/>
        <w:rPr>
          <w:rFonts w:hint="eastAsia" w:ascii="宋体" w:hAnsi="宋体" w:eastAsia="宋体" w:cs="Times New Roman"/>
          <w:b/>
          <w:bCs/>
          <w:color w:val="auto"/>
          <w:lang w:val="en-US" w:eastAsia="zh-CN"/>
        </w:rPr>
      </w:pPr>
      <w:bookmarkStart w:id="18" w:name="_Hlk168417049"/>
      <w:r>
        <w:rPr>
          <w:rFonts w:hint="eastAsia" w:ascii="宋体" w:hAnsi="宋体" w:eastAsia="宋体" w:cs="Times New Roman"/>
          <w:b/>
          <w:bCs/>
          <w:color w:val="auto"/>
          <w:lang w:val="en-US" w:eastAsia="zh-CN"/>
        </w:rPr>
        <w:t>1.合同生效及具备实施条件后7个工作日内，支付合同总价的40%作为预付款；</w:t>
      </w:r>
    </w:p>
    <w:p w14:paraId="182F5C11">
      <w:pPr>
        <w:pageBreakBefore w:val="0"/>
        <w:kinsoku/>
        <w:wordWrap/>
        <w:overflowPunct/>
        <w:topLinePunct w:val="0"/>
        <w:autoSpaceDE w:val="0"/>
        <w:autoSpaceDN w:val="0"/>
        <w:bidi w:val="0"/>
        <w:adjustRightInd w:val="0"/>
        <w:snapToGrid w:val="0"/>
        <w:spacing w:line="320" w:lineRule="exact"/>
        <w:ind w:firstLine="627" w:firstLineChars="299"/>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2.</w:t>
      </w:r>
      <w:r>
        <w:rPr>
          <w:rFonts w:hint="eastAsia" w:ascii="宋体" w:hAnsi="宋体" w:eastAsia="宋体" w:cs="Times New Roman"/>
          <w:b/>
          <w:bCs/>
          <w:color w:val="auto"/>
          <w:lang w:val="en-US" w:eastAsia="zh-CN"/>
        </w:rPr>
        <w:t>设备到货初验完成</w:t>
      </w:r>
      <w:r>
        <w:rPr>
          <w:rFonts w:hint="eastAsia" w:ascii="宋体" w:hAnsi="宋体" w:eastAsia="宋体" w:cs="Times New Roman"/>
          <w:color w:val="auto"/>
          <w:lang w:val="en-US" w:eastAsia="zh-CN"/>
        </w:rPr>
        <w:t>，财政资金到位后7个工作日内，支付合同总价的30%；</w:t>
      </w:r>
    </w:p>
    <w:p w14:paraId="7A2B1F78">
      <w:pPr>
        <w:pageBreakBefore w:val="0"/>
        <w:kinsoku/>
        <w:wordWrap/>
        <w:overflowPunct/>
        <w:topLinePunct w:val="0"/>
        <w:autoSpaceDE w:val="0"/>
        <w:autoSpaceDN w:val="0"/>
        <w:bidi w:val="0"/>
        <w:adjustRightInd w:val="0"/>
        <w:snapToGrid w:val="0"/>
        <w:spacing w:line="320" w:lineRule="exact"/>
        <w:ind w:firstLine="627" w:firstLineChars="299"/>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3.</w:t>
      </w:r>
      <w:r>
        <w:rPr>
          <w:rFonts w:hint="eastAsia" w:ascii="宋体" w:hAnsi="宋体" w:eastAsia="宋体" w:cs="Times New Roman"/>
          <w:b/>
          <w:bCs/>
          <w:color w:val="auto"/>
          <w:lang w:val="en-US" w:eastAsia="zh-CN"/>
        </w:rPr>
        <w:t>设备稳定运行10日以上，并通过验收合格</w:t>
      </w:r>
      <w:r>
        <w:rPr>
          <w:rFonts w:hint="eastAsia" w:ascii="宋体" w:hAnsi="宋体" w:eastAsia="宋体" w:cs="Times New Roman"/>
          <w:color w:val="auto"/>
          <w:lang w:val="en-US" w:eastAsia="zh-CN"/>
        </w:rPr>
        <w:t>，财政资金到位后7个工作日内，支付剩余款项。</w:t>
      </w:r>
      <w:bookmarkEnd w:id="18"/>
    </w:p>
    <w:p w14:paraId="1626B674">
      <w:pPr>
        <w:pStyle w:val="2"/>
        <w:rPr>
          <w:rFonts w:hint="eastAsia"/>
          <w:color w:val="auto"/>
          <w:lang w:val="en-US" w:eastAsia="zh-CN"/>
        </w:rPr>
      </w:pPr>
    </w:p>
    <w:p w14:paraId="3DE0F7E3">
      <w:pPr>
        <w:pageBreakBefore w:val="0"/>
        <w:kinsoku/>
        <w:wordWrap/>
        <w:overflowPunct/>
        <w:topLinePunct w:val="0"/>
        <w:bidi w:val="0"/>
        <w:spacing w:line="320" w:lineRule="exact"/>
        <w:outlineLvl w:val="0"/>
        <w:rPr>
          <w:rFonts w:hint="eastAsia" w:eastAsia="宋体"/>
          <w:b/>
          <w:color w:val="auto"/>
          <w:sz w:val="24"/>
        </w:rPr>
      </w:pPr>
      <w:r>
        <w:rPr>
          <w:rFonts w:hint="eastAsia" w:eastAsia="宋体"/>
          <w:b/>
          <w:color w:val="auto"/>
          <w:sz w:val="24"/>
          <w:lang w:val="en-US" w:eastAsia="zh-CN"/>
        </w:rPr>
        <w:t>七</w:t>
      </w:r>
      <w:r>
        <w:rPr>
          <w:rFonts w:hint="eastAsia" w:eastAsia="宋体"/>
          <w:b/>
          <w:color w:val="auto"/>
          <w:sz w:val="24"/>
        </w:rPr>
        <w:t>、报价要求</w:t>
      </w:r>
    </w:p>
    <w:p w14:paraId="0C0E2488">
      <w:pPr>
        <w:pageBreakBefore w:val="0"/>
        <w:kinsoku/>
        <w:wordWrap/>
        <w:overflowPunct/>
        <w:topLinePunct w:val="0"/>
        <w:bidi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1.投标人应根据招标文件报出合同总价。合同总价一旦核实确认，不得再做更改。对投标人漏报致使项目未能达到需求的功能和效果，其费用和后果由投标人自行负责。</w:t>
      </w:r>
    </w:p>
    <w:p w14:paraId="1E0763E3">
      <w:pPr>
        <w:pageBreakBefore w:val="0"/>
        <w:kinsoku/>
        <w:wordWrap/>
        <w:overflowPunct/>
        <w:topLinePunct w:val="0"/>
        <w:bidi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2.所有报价均应已包含国家规定的所有税费。</w:t>
      </w:r>
    </w:p>
    <w:p w14:paraId="56B04209">
      <w:pPr>
        <w:pageBreakBefore w:val="0"/>
        <w:kinsoku/>
        <w:wordWrap/>
        <w:overflowPunct/>
        <w:topLinePunct w:val="0"/>
        <w:bidi w:val="0"/>
        <w:spacing w:line="320" w:lineRule="exact"/>
        <w:ind w:firstLine="420" w:firstLineChars="200"/>
        <w:rPr>
          <w:rFonts w:hint="eastAsia" w:ascii="宋体" w:hAnsi="宋体" w:eastAsia="宋体" w:cs="Times New Roman"/>
          <w:color w:val="auto"/>
        </w:rPr>
      </w:pPr>
      <w:r>
        <w:rPr>
          <w:rFonts w:hint="eastAsia" w:ascii="宋体" w:hAnsi="宋体" w:eastAsia="宋体" w:cs="Times New Roman"/>
          <w:color w:val="auto"/>
        </w:rPr>
        <w:t>3.投标人报价应包含项目过程中发生的所有费用。</w:t>
      </w:r>
    </w:p>
    <w:p w14:paraId="304FCCB8">
      <w:pPr>
        <w:pageBreakBefore w:val="0"/>
        <w:kinsoku/>
        <w:wordWrap/>
        <w:overflowPunct/>
        <w:topLinePunct w:val="0"/>
        <w:bidi w:val="0"/>
        <w:spacing w:line="320" w:lineRule="exact"/>
        <w:ind w:firstLine="420" w:firstLineChars="200"/>
        <w:rPr>
          <w:rFonts w:hint="default" w:ascii="宋体" w:hAnsi="宋体" w:eastAsia="宋体" w:cs="Times New Roman"/>
          <w:bCs/>
          <w:color w:val="auto"/>
          <w:szCs w:val="21"/>
          <w:lang w:val="en-US" w:eastAsia="zh-CN"/>
        </w:rPr>
      </w:pPr>
      <w:r>
        <w:rPr>
          <w:rFonts w:hint="eastAsia" w:ascii="宋体" w:hAnsi="宋体" w:eastAsia="宋体" w:cs="Times New Roman"/>
          <w:color w:val="auto"/>
        </w:rPr>
        <w:t>4.投标人免费提供的部件必须注明“免费”或数字“0”，但不能省略，如有严重缺漏项，视为无效标。</w:t>
      </w:r>
      <w:r>
        <w:rPr>
          <w:rFonts w:hint="eastAsia" w:ascii="宋体" w:hAnsi="宋体" w:eastAsia="宋体" w:cs="Times New Roman"/>
          <w:color w:val="auto"/>
          <w:lang w:val="en-US" w:eastAsia="zh-CN"/>
        </w:rPr>
        <w:t>数量增加或减少，按单价进行调整。</w:t>
      </w:r>
    </w:p>
    <w:p w14:paraId="04E77BBA">
      <w:pPr>
        <w:pageBreakBefore w:val="0"/>
        <w:tabs>
          <w:tab w:val="left" w:pos="0"/>
        </w:tabs>
        <w:kinsoku/>
        <w:wordWrap/>
        <w:overflowPunct/>
        <w:topLinePunct w:val="0"/>
        <w:bidi w:val="0"/>
        <w:adjustRightInd w:val="0"/>
        <w:snapToGrid w:val="0"/>
        <w:spacing w:line="320" w:lineRule="exact"/>
        <w:ind w:firstLine="420" w:firstLineChars="200"/>
        <w:jc w:val="left"/>
        <w:rPr>
          <w:rFonts w:hint="eastAsia" w:ascii="宋体" w:hAnsi="宋体" w:eastAsia="宋体" w:cs="Times New Roman"/>
          <w:bCs/>
          <w:color w:val="auto"/>
          <w:szCs w:val="21"/>
        </w:rPr>
      </w:pPr>
      <w:r>
        <w:rPr>
          <w:rFonts w:hint="eastAsia" w:ascii="宋体" w:hAnsi="宋体" w:eastAsia="宋体" w:cs="Times New Roman"/>
          <w:color w:val="auto"/>
        </w:rPr>
        <w:t>5.</w:t>
      </w:r>
      <w:r>
        <w:rPr>
          <w:rFonts w:hint="eastAsia" w:ascii="宋体" w:hAnsi="宋体" w:eastAsia="宋体" w:cs="Times New Roman"/>
          <w:bCs/>
          <w:color w:val="auto"/>
          <w:szCs w:val="21"/>
        </w:rPr>
        <w:t>扶持政策说明：</w:t>
      </w:r>
    </w:p>
    <w:p w14:paraId="7C7DD421">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1）根据财政部财库〔2022〕19号《关于进一步加大政府采购支持中小企业力度的通知》等相关文件规定，对小型和微型企业的价格给予10%的扣除。对于联合协议或者分包意向协议约定小微企业的合同份额占到合同总金额40%以上的，给予4%的扣除。属于小型和微型企业的，投标文件中投标人必须提供《中小企业声明函》。本项目不专门面向中小企业，预留采购项目预算总额的40%以上专门面向中小企业采购，其中预留给小微企业的比例不低于70%。本项目对应的中小企业划分标准所属行业：</w:t>
      </w:r>
      <w:r>
        <w:rPr>
          <w:rFonts w:hint="eastAsia" w:ascii="宋体" w:hAnsi="宋体" w:eastAsia="宋体" w:cs="Times New Roman"/>
          <w:b w:val="0"/>
          <w:bCs w:val="0"/>
          <w:color w:val="auto"/>
          <w:szCs w:val="21"/>
          <w:lang w:val="en-US" w:eastAsia="zh-CN"/>
        </w:rPr>
        <w:t>工业</w:t>
      </w:r>
      <w:r>
        <w:rPr>
          <w:rFonts w:hint="eastAsia" w:ascii="宋体" w:hAnsi="宋体" w:eastAsia="宋体" w:cs="Times New Roman"/>
          <w:b w:val="0"/>
          <w:bCs w:val="0"/>
          <w:color w:val="auto"/>
          <w:szCs w:val="21"/>
        </w:rPr>
        <w:t>。(中小企业划型标准:《工信部联企业[2011]300号》)</w:t>
      </w:r>
    </w:p>
    <w:p w14:paraId="7390F086">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未提供完整证明材料的，投标报价不予扣减。</w:t>
      </w:r>
    </w:p>
    <w:p w14:paraId="33214ABA">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（2）根据《关于政府采购支持监狱企业发展有关问题的通知》（财库[2014]68号）的规定，供应商如为监狱企业且所投产品为小型或微型企业生产的，其投标报价扣除10%后参与评审。</w:t>
      </w:r>
    </w:p>
    <w:p w14:paraId="745631EE">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投标文件中须同时提供：供应商的省级以上监狱管理局、戒毒管理局（含新疆生产建设兵团）出具的属于监狱企业的证明文件，投标产品制造商的小微企业证明，未提供完整证明材料的，投标报价不予扣减。</w:t>
      </w:r>
    </w:p>
    <w:p w14:paraId="402C7417">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3）根据《财政部、民政部、中国残疾人联合会关于促进残疾人就业政府采购政策的通知》（财库〔2017〕141号）的规定，残疾人福利性单位视同小型、微型企业，享受预留份额、评审中价格扣除等促进中小企业发展的政府采购政策。</w:t>
      </w:r>
    </w:p>
    <w:p w14:paraId="1A21BD1A">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投标文件中须提供：《残疾人福利性单位声明函》，未提供完整证明材料的，投标报价不予扣减。</w:t>
      </w:r>
    </w:p>
    <w:p w14:paraId="0C9B9B6E">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上述1，2，3政策不重复计算。</w:t>
      </w:r>
    </w:p>
    <w:p w14:paraId="27F1C027">
      <w:pPr>
        <w:pageBreakBefore w:val="0"/>
        <w:kinsoku/>
        <w:wordWrap/>
        <w:overflowPunct/>
        <w:topLinePunct w:val="0"/>
        <w:bidi w:val="0"/>
        <w:adjustRightInd w:val="0"/>
        <w:spacing w:line="320" w:lineRule="exact"/>
        <w:ind w:firstLine="420" w:firstLineChars="200"/>
        <w:rPr>
          <w:rFonts w:hint="eastAsia" w:ascii="宋体" w:hAnsi="宋体" w:eastAsia="宋体" w:cs="Times New Roman"/>
          <w:b w:val="0"/>
          <w:bCs w:val="0"/>
          <w:color w:val="auto"/>
          <w:szCs w:val="21"/>
        </w:rPr>
      </w:pPr>
      <w:r>
        <w:rPr>
          <w:rFonts w:hint="eastAsia" w:ascii="宋体" w:hAnsi="宋体" w:eastAsia="宋体" w:cs="Times New Roman"/>
          <w:b w:val="0"/>
          <w:bCs w:val="0"/>
          <w:color w:val="auto"/>
          <w:szCs w:val="21"/>
        </w:rPr>
        <w:t>此项由评标委员会集体核实后统一打分。</w:t>
      </w:r>
    </w:p>
    <w:p w14:paraId="260C2534">
      <w:pPr>
        <w:pageBreakBefore w:val="0"/>
        <w:kinsoku/>
        <w:wordWrap/>
        <w:overflowPunct/>
        <w:topLinePunct w:val="0"/>
        <w:bidi w:val="0"/>
        <w:adjustRightInd w:val="0"/>
        <w:spacing w:line="320" w:lineRule="exact"/>
        <w:ind w:firstLine="422" w:firstLineChars="200"/>
        <w:rPr>
          <w:rFonts w:hint="eastAsia" w:ascii="宋体" w:hAnsi="宋体" w:eastAsia="宋体" w:cs="Times New Roman"/>
          <w:b/>
          <w:bCs/>
          <w:color w:val="auto"/>
        </w:rPr>
      </w:pPr>
      <w:r>
        <w:rPr>
          <w:rFonts w:hint="eastAsia" w:ascii="宋体" w:hAnsi="宋体" w:eastAsia="宋体" w:cs="Times New Roman"/>
          <w:b/>
          <w:bCs/>
          <w:color w:val="auto"/>
          <w:szCs w:val="21"/>
        </w:rPr>
        <w:t>6.本次项</w:t>
      </w:r>
      <w:r>
        <w:rPr>
          <w:rFonts w:hint="eastAsia" w:ascii="宋体" w:hAnsi="宋体" w:eastAsia="宋体" w:cs="Times New Roman"/>
          <w:b/>
          <w:color w:val="auto"/>
          <w:szCs w:val="21"/>
        </w:rPr>
        <w:t>目的预算金额为</w:t>
      </w:r>
      <w:r>
        <w:rPr>
          <w:rFonts w:hint="eastAsia" w:ascii="宋体" w:hAnsi="宋体" w:eastAsia="宋体" w:cs="Times New Roman"/>
          <w:b/>
          <w:bCs/>
          <w:color w:val="auto"/>
        </w:rPr>
        <w:t>：</w:t>
      </w:r>
      <w:r>
        <w:rPr>
          <w:rFonts w:hint="eastAsia" w:ascii="宋体" w:hAnsi="宋体" w:eastAsia="宋体" w:cs="Times New Roman"/>
          <w:b/>
          <w:bCs/>
          <w:color w:val="auto"/>
          <w:lang w:val="en-US" w:eastAsia="zh-CN"/>
        </w:rPr>
        <w:t>人民币肆佰玖拾柒万玖仟元整（¥4,979,000.00）</w:t>
      </w:r>
      <w:r>
        <w:rPr>
          <w:rFonts w:hint="eastAsia" w:ascii="宋体" w:hAnsi="宋体" w:eastAsia="宋体" w:cs="Times New Roman"/>
          <w:b/>
          <w:bCs/>
          <w:color w:val="auto"/>
        </w:rPr>
        <w:t>。</w:t>
      </w:r>
    </w:p>
    <w:p w14:paraId="1458E53C">
      <w:pPr>
        <w:pageBreakBefore/>
        <w:snapToGrid w:val="0"/>
        <w:jc w:val="center"/>
        <w:rPr>
          <w:rFonts w:ascii="Times New Roman" w:hAnsi="Times New Roman" w:eastAsia="宋体" w:cs="Times New Roman"/>
          <w:color w:val="auto"/>
          <w:sz w:val="28"/>
        </w:rPr>
      </w:pPr>
      <w:r>
        <w:rPr>
          <w:rFonts w:hint="eastAsia" w:ascii="Times New Roman" w:hAnsi="Times New Roman" w:eastAsia="宋体" w:cs="Times New Roman"/>
          <w:b/>
          <w:color w:val="auto"/>
          <w:sz w:val="32"/>
        </w:rPr>
        <w:t>第三章 投标人须知</w:t>
      </w:r>
    </w:p>
    <w:p w14:paraId="791E87FB">
      <w:pPr>
        <w:snapToGrid w:val="0"/>
        <w:ind w:firstLine="4340" w:firstLineChars="1550"/>
        <w:rPr>
          <w:rFonts w:ascii="Times New Roman" w:hAnsi="Times New Roman" w:eastAsia="宋体" w:cs="Times New Roman"/>
          <w:color w:val="auto"/>
          <w:sz w:val="28"/>
        </w:rPr>
      </w:pPr>
      <w:r>
        <w:rPr>
          <w:rFonts w:hint="eastAsia" w:ascii="Times New Roman" w:hAnsi="Times New Roman" w:eastAsia="宋体" w:cs="Times New Roman"/>
          <w:color w:val="auto"/>
          <w:sz w:val="28"/>
        </w:rPr>
        <w:t>前附表</w:t>
      </w:r>
    </w:p>
    <w:tbl>
      <w:tblPr>
        <w:tblStyle w:val="61"/>
        <w:tblW w:w="10017" w:type="dxa"/>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1178"/>
        <w:gridCol w:w="5205"/>
        <w:gridCol w:w="1098"/>
        <w:gridCol w:w="2027"/>
      </w:tblGrid>
      <w:tr w14:paraId="2E537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362EA1D">
            <w:pPr>
              <w:snapToGrid w:val="0"/>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rPr>
              <w:t>序号</w:t>
            </w:r>
          </w:p>
        </w:tc>
        <w:tc>
          <w:tcPr>
            <w:tcW w:w="9487"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BF75851">
            <w:pPr>
              <w:snapToGrid w:val="0"/>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rPr>
              <w:t>内容说明及要求</w:t>
            </w:r>
          </w:p>
        </w:tc>
      </w:tr>
      <w:tr w14:paraId="671E6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BEDED2F">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4CC2A53">
            <w:pPr>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rPr>
              <w:t>项目名称</w:t>
            </w:r>
          </w:p>
        </w:tc>
        <w:tc>
          <w:tcPr>
            <w:tcW w:w="5191"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AB72B10">
            <w:pPr>
              <w:spacing w:line="240" w:lineRule="exact"/>
              <w:rPr>
                <w:rFonts w:hint="eastAsia" w:ascii="Times New Roman" w:hAnsi="Times New Roman" w:eastAsia="宋体" w:cs="Times New Roman"/>
                <w:bCs/>
                <w:color w:val="auto"/>
                <w:lang w:val="zh-CN" w:eastAsia="zh-CN"/>
              </w:rPr>
            </w:pPr>
            <w:r>
              <w:rPr>
                <w:rFonts w:hint="eastAsia" w:ascii="Times New Roman" w:hAnsi="Times New Roman" w:eastAsia="宋体" w:cs="Times New Roman"/>
                <w:color w:val="auto"/>
                <w:lang w:eastAsia="zh-CN"/>
              </w:rPr>
              <w:t>2025年舟山市生态环境监测能力建设项目</w:t>
            </w:r>
          </w:p>
        </w:tc>
        <w:tc>
          <w:tcPr>
            <w:tcW w:w="108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3A041AD">
            <w:pPr>
              <w:spacing w:line="240" w:lineRule="exact"/>
              <w:jc w:val="center"/>
              <w:rPr>
                <w:rFonts w:ascii="Times New Roman" w:hAnsi="Times New Roman" w:eastAsia="宋体" w:cs="Times New Roman"/>
                <w:bCs/>
                <w:color w:val="auto"/>
              </w:rPr>
            </w:pPr>
            <w:r>
              <w:rPr>
                <w:rFonts w:hint="eastAsia" w:ascii="Times New Roman" w:hAnsi="Times New Roman" w:eastAsia="宋体" w:cs="Times New Roman"/>
                <w:b/>
                <w:color w:val="auto"/>
              </w:rPr>
              <w:t>项目编号</w:t>
            </w:r>
          </w:p>
        </w:tc>
        <w:tc>
          <w:tcPr>
            <w:tcW w:w="200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647F7EC">
            <w:pPr>
              <w:spacing w:line="240" w:lineRule="exact"/>
              <w:rPr>
                <w:rFonts w:hint="eastAsia" w:ascii="Times New Roman" w:hAnsi="Times New Roman" w:eastAsia="宋体" w:cs="Times New Roman"/>
                <w:bCs/>
                <w:color w:val="auto"/>
                <w:lang w:eastAsia="zh-CN"/>
              </w:rPr>
            </w:pPr>
            <w:r>
              <w:rPr>
                <w:rFonts w:hint="eastAsia" w:ascii="Times New Roman" w:hAnsi="Times New Roman" w:eastAsia="宋体" w:cs="Times New Roman"/>
                <w:color w:val="auto"/>
                <w:lang w:eastAsia="zh-CN"/>
              </w:rPr>
              <w:t>SZGXZS2025104</w:t>
            </w:r>
          </w:p>
        </w:tc>
      </w:tr>
      <w:tr w14:paraId="3619B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935BFF1">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2</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D2CC5E4">
            <w:pPr>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rPr>
              <w:t>采购单位名称</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2F849CD">
            <w:pPr>
              <w:spacing w:line="240" w:lineRule="exact"/>
              <w:rPr>
                <w:rFonts w:ascii="Times New Roman" w:hAnsi="Times New Roman" w:eastAsia="宋体" w:cs="Times New Roman"/>
                <w:bCs/>
                <w:color w:val="auto"/>
              </w:rPr>
            </w:pPr>
            <w:r>
              <w:rPr>
                <w:rFonts w:hint="eastAsia" w:ascii="Times New Roman" w:hAnsi="Times New Roman" w:eastAsia="宋体" w:cs="Times New Roman"/>
                <w:color w:val="auto"/>
              </w:rPr>
              <w:t>舟山市生态环境局</w:t>
            </w:r>
          </w:p>
        </w:tc>
      </w:tr>
      <w:tr w14:paraId="161B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D4414AC">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3</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02C5CF3">
            <w:pPr>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rPr>
              <w:t>采购内容</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tbl>
            <w:tblPr>
              <w:tblStyle w:val="62"/>
              <w:tblW w:w="8334"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205"/>
              <w:gridCol w:w="1335"/>
              <w:gridCol w:w="2085"/>
            </w:tblGrid>
            <w:tr w14:paraId="49F83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hRule="atLeast"/>
              </w:trPr>
              <w:tc>
                <w:tcPr>
                  <w:tcW w:w="709" w:type="dxa"/>
                  <w:shd w:val="clear" w:color="auto" w:fill="auto"/>
                  <w:vAlign w:val="center"/>
                </w:tcPr>
                <w:p w14:paraId="60AC3AF2">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序号</w:t>
                  </w:r>
                </w:p>
              </w:tc>
              <w:tc>
                <w:tcPr>
                  <w:tcW w:w="4205" w:type="dxa"/>
                  <w:vAlign w:val="center"/>
                </w:tcPr>
                <w:p w14:paraId="3B582223">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bCs/>
                      <w:color w:val="auto"/>
                      <w:sz w:val="21"/>
                      <w:szCs w:val="21"/>
                      <w:vertAlign w:val="baseline"/>
                    </w:rPr>
                  </w:pPr>
                  <w:r>
                    <w:rPr>
                      <w:rFonts w:hint="eastAsia" w:ascii="宋体" w:hAnsi="宋体" w:eastAsia="宋体" w:cs="宋体"/>
                      <w:color w:val="auto"/>
                      <w:sz w:val="21"/>
                      <w:szCs w:val="21"/>
                    </w:rPr>
                    <w:t>仪器名称</w:t>
                  </w:r>
                </w:p>
              </w:tc>
              <w:tc>
                <w:tcPr>
                  <w:tcW w:w="1335" w:type="dxa"/>
                  <w:vAlign w:val="center"/>
                </w:tcPr>
                <w:p w14:paraId="18C94606">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数量</w:t>
                  </w:r>
                </w:p>
                <w:p w14:paraId="68CF2D7D">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（台、套）</w:t>
                  </w:r>
                </w:p>
              </w:tc>
              <w:tc>
                <w:tcPr>
                  <w:tcW w:w="2085" w:type="dxa"/>
                  <w:vAlign w:val="center"/>
                </w:tcPr>
                <w:p w14:paraId="379710EE">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预算金额（万元）</w:t>
                  </w:r>
                </w:p>
              </w:tc>
            </w:tr>
            <w:tr w14:paraId="43C5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631B252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w:t>
                  </w:r>
                </w:p>
              </w:tc>
              <w:tc>
                <w:tcPr>
                  <w:tcW w:w="4205" w:type="dxa"/>
                  <w:vAlign w:val="center"/>
                </w:tcPr>
                <w:p w14:paraId="213968E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盐度计</w:t>
                  </w:r>
                </w:p>
              </w:tc>
              <w:tc>
                <w:tcPr>
                  <w:tcW w:w="1335" w:type="dxa"/>
                  <w:vAlign w:val="center"/>
                </w:tcPr>
                <w:p w14:paraId="782EDDA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restart"/>
                  <w:vAlign w:val="center"/>
                </w:tcPr>
                <w:p w14:paraId="0856C17A">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497.90</w:t>
                  </w:r>
                </w:p>
              </w:tc>
            </w:tr>
            <w:tr w14:paraId="428B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220AC486">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4205" w:type="dxa"/>
                  <w:vAlign w:val="center"/>
                </w:tcPr>
                <w:p w14:paraId="7F658FA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无人机采样模块</w:t>
                  </w:r>
                </w:p>
              </w:tc>
              <w:tc>
                <w:tcPr>
                  <w:tcW w:w="1335" w:type="dxa"/>
                  <w:vAlign w:val="center"/>
                </w:tcPr>
                <w:p w14:paraId="017C111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656C2B8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70F8D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0762EE34">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4205" w:type="dxa"/>
                  <w:vAlign w:val="center"/>
                </w:tcPr>
                <w:p w14:paraId="7A9A2B4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凯氏定氮仪自动进样仪</w:t>
                  </w:r>
                </w:p>
              </w:tc>
              <w:tc>
                <w:tcPr>
                  <w:tcW w:w="1335" w:type="dxa"/>
                  <w:vAlign w:val="center"/>
                </w:tcPr>
                <w:p w14:paraId="1A7DD5B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2181B22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ED7A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4998CA4D">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4205" w:type="dxa"/>
                  <w:vAlign w:val="center"/>
                </w:tcPr>
                <w:p w14:paraId="4BFC1AE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振荡器</w:t>
                  </w:r>
                </w:p>
              </w:tc>
              <w:tc>
                <w:tcPr>
                  <w:tcW w:w="1335" w:type="dxa"/>
                  <w:vAlign w:val="center"/>
                </w:tcPr>
                <w:p w14:paraId="7AA2591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0F1F619C">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5FD0F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096E11DE">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4205" w:type="dxa"/>
                  <w:vAlign w:val="center"/>
                </w:tcPr>
                <w:p w14:paraId="34BE9F7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多参数水质仪</w:t>
                  </w:r>
                </w:p>
              </w:tc>
              <w:tc>
                <w:tcPr>
                  <w:tcW w:w="1335" w:type="dxa"/>
                  <w:vAlign w:val="center"/>
                </w:tcPr>
                <w:p w14:paraId="569FF9A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085" w:type="dxa"/>
                  <w:vMerge w:val="continue"/>
                  <w:vAlign w:val="center"/>
                </w:tcPr>
                <w:p w14:paraId="036D5289">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56EE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42497C75">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4205" w:type="dxa"/>
                  <w:shd w:val="clear" w:color="auto" w:fill="auto"/>
                  <w:vAlign w:val="center"/>
                </w:tcPr>
                <w:p w14:paraId="1B7A876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气象参数测定仪</w:t>
                  </w:r>
                </w:p>
              </w:tc>
              <w:tc>
                <w:tcPr>
                  <w:tcW w:w="1335" w:type="dxa"/>
                  <w:vAlign w:val="center"/>
                </w:tcPr>
                <w:p w14:paraId="40E0B86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085" w:type="dxa"/>
                  <w:vMerge w:val="continue"/>
                  <w:vAlign w:val="center"/>
                </w:tcPr>
                <w:p w14:paraId="143C748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705AA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199E0DD8">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4205" w:type="dxa"/>
                  <w:shd w:val="clear" w:color="auto" w:fill="auto"/>
                  <w:vAlign w:val="center"/>
                </w:tcPr>
                <w:p w14:paraId="36A11ED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智能多通道颗粒物采样器</w:t>
                  </w:r>
                </w:p>
              </w:tc>
              <w:tc>
                <w:tcPr>
                  <w:tcW w:w="1335" w:type="dxa"/>
                  <w:vAlign w:val="center"/>
                </w:tcPr>
                <w:p w14:paraId="6F5D909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085" w:type="dxa"/>
                  <w:vMerge w:val="continue"/>
                  <w:vAlign w:val="center"/>
                </w:tcPr>
                <w:p w14:paraId="1112D532">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66204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73A6F3B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w:t>
                  </w:r>
                </w:p>
              </w:tc>
              <w:tc>
                <w:tcPr>
                  <w:tcW w:w="4205" w:type="dxa"/>
                  <w:shd w:val="clear" w:color="auto" w:fill="auto"/>
                  <w:vAlign w:val="center"/>
                </w:tcPr>
                <w:p w14:paraId="393C6FB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小无人机</w:t>
                  </w:r>
                </w:p>
              </w:tc>
              <w:tc>
                <w:tcPr>
                  <w:tcW w:w="1335" w:type="dxa"/>
                  <w:vAlign w:val="center"/>
                </w:tcPr>
                <w:p w14:paraId="21B3E12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31FEE539">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10C5E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47F2CA11">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w:t>
                  </w:r>
                </w:p>
              </w:tc>
              <w:tc>
                <w:tcPr>
                  <w:tcW w:w="4205" w:type="dxa"/>
                  <w:shd w:val="clear" w:color="auto" w:fill="auto"/>
                  <w:vAlign w:val="center"/>
                </w:tcPr>
                <w:p w14:paraId="67514F0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热释光测量系统</w:t>
                  </w:r>
                </w:p>
              </w:tc>
              <w:tc>
                <w:tcPr>
                  <w:tcW w:w="1335" w:type="dxa"/>
                  <w:vAlign w:val="center"/>
                </w:tcPr>
                <w:p w14:paraId="2D855F9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65769F0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70DC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shd w:val="clear" w:color="auto" w:fill="auto"/>
                  <w:vAlign w:val="center"/>
                </w:tcPr>
                <w:p w14:paraId="1B3BFA2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4205" w:type="dxa"/>
                  <w:shd w:val="clear" w:color="auto" w:fill="auto"/>
                  <w:vAlign w:val="center"/>
                </w:tcPr>
                <w:p w14:paraId="28BC659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辐射防护装备</w:t>
                  </w:r>
                </w:p>
              </w:tc>
              <w:tc>
                <w:tcPr>
                  <w:tcW w:w="1335" w:type="dxa"/>
                  <w:vAlign w:val="center"/>
                </w:tcPr>
                <w:p w14:paraId="11175D7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085" w:type="dxa"/>
                  <w:vMerge w:val="continue"/>
                  <w:vAlign w:val="center"/>
                </w:tcPr>
                <w:p w14:paraId="13B8B676">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57661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6230000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w:t>
                  </w:r>
                </w:p>
              </w:tc>
              <w:tc>
                <w:tcPr>
                  <w:tcW w:w="4205" w:type="dxa"/>
                  <w:shd w:val="clear" w:color="auto" w:fill="auto"/>
                  <w:vAlign w:val="center"/>
                </w:tcPr>
                <w:p w14:paraId="675FDD9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离子计</w:t>
                  </w:r>
                </w:p>
              </w:tc>
              <w:tc>
                <w:tcPr>
                  <w:tcW w:w="1335" w:type="dxa"/>
                  <w:vAlign w:val="center"/>
                </w:tcPr>
                <w:p w14:paraId="2292D61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3FA49797">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734BB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552150A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4205" w:type="dxa"/>
                  <w:shd w:val="clear" w:color="auto" w:fill="auto"/>
                  <w:vAlign w:val="center"/>
                </w:tcPr>
                <w:p w14:paraId="268B3FB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测氡仪</w:t>
                  </w:r>
                </w:p>
              </w:tc>
              <w:tc>
                <w:tcPr>
                  <w:tcW w:w="1335" w:type="dxa"/>
                  <w:vAlign w:val="center"/>
                </w:tcPr>
                <w:p w14:paraId="47D105B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2F1D472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highlight w:val="none"/>
                      <w:lang w:val="en-US" w:eastAsia="zh-CN"/>
                    </w:rPr>
                  </w:pPr>
                </w:p>
              </w:tc>
            </w:tr>
            <w:tr w14:paraId="61F5C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1371139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w:t>
                  </w:r>
                </w:p>
              </w:tc>
              <w:tc>
                <w:tcPr>
                  <w:tcW w:w="4205" w:type="dxa"/>
                  <w:shd w:val="clear" w:color="auto" w:fill="auto"/>
                  <w:vAlign w:val="center"/>
                </w:tcPr>
                <w:p w14:paraId="7B914A8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手持式寻源仪</w:t>
                  </w:r>
                </w:p>
              </w:tc>
              <w:tc>
                <w:tcPr>
                  <w:tcW w:w="1335" w:type="dxa"/>
                  <w:vAlign w:val="center"/>
                </w:tcPr>
                <w:p w14:paraId="1A16D22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085" w:type="dxa"/>
                  <w:vMerge w:val="continue"/>
                  <w:vAlign w:val="center"/>
                </w:tcPr>
                <w:p w14:paraId="630A48A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9201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15C631D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w:t>
                  </w:r>
                </w:p>
              </w:tc>
              <w:tc>
                <w:tcPr>
                  <w:tcW w:w="4205" w:type="dxa"/>
                  <w:shd w:val="clear" w:color="auto" w:fill="auto"/>
                  <w:vAlign w:val="center"/>
                </w:tcPr>
                <w:p w14:paraId="775009B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高速冷冻离心机</w:t>
                  </w:r>
                </w:p>
              </w:tc>
              <w:tc>
                <w:tcPr>
                  <w:tcW w:w="1335" w:type="dxa"/>
                  <w:vAlign w:val="center"/>
                </w:tcPr>
                <w:p w14:paraId="5AF3CC6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2F48D0A4">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55E23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0AFD8585">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w:t>
                  </w:r>
                </w:p>
              </w:tc>
              <w:tc>
                <w:tcPr>
                  <w:tcW w:w="4205" w:type="dxa"/>
                  <w:shd w:val="clear" w:color="auto" w:fill="auto"/>
                  <w:vAlign w:val="center"/>
                </w:tcPr>
                <w:p w14:paraId="0374C65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氮磷检测器</w:t>
                  </w:r>
                </w:p>
              </w:tc>
              <w:tc>
                <w:tcPr>
                  <w:tcW w:w="1335" w:type="dxa"/>
                  <w:vAlign w:val="center"/>
                </w:tcPr>
                <w:p w14:paraId="10F056F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17270BD3">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3034E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1DE76D1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w:t>
                  </w:r>
                </w:p>
              </w:tc>
              <w:tc>
                <w:tcPr>
                  <w:tcW w:w="4205" w:type="dxa"/>
                  <w:shd w:val="clear" w:color="auto" w:fill="auto"/>
                  <w:vAlign w:val="center"/>
                </w:tcPr>
                <w:p w14:paraId="17C135F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烷基汞蒸馏仪</w:t>
                  </w:r>
                </w:p>
              </w:tc>
              <w:tc>
                <w:tcPr>
                  <w:tcW w:w="1335" w:type="dxa"/>
                  <w:vAlign w:val="center"/>
                </w:tcPr>
                <w:p w14:paraId="0BAF08E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7752A3F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18154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09017CC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17</w:t>
                  </w:r>
                </w:p>
              </w:tc>
              <w:tc>
                <w:tcPr>
                  <w:tcW w:w="4205" w:type="dxa"/>
                  <w:shd w:val="clear" w:color="auto" w:fill="auto"/>
                  <w:vAlign w:val="center"/>
                </w:tcPr>
                <w:p w14:paraId="1A7FB82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水质监测采样无人船</w:t>
                  </w:r>
                </w:p>
              </w:tc>
              <w:tc>
                <w:tcPr>
                  <w:tcW w:w="1335" w:type="dxa"/>
                  <w:vAlign w:val="center"/>
                </w:tcPr>
                <w:p w14:paraId="0446C59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1EAA1549">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2A471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4BCAC44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w:t>
                  </w:r>
                </w:p>
              </w:tc>
              <w:tc>
                <w:tcPr>
                  <w:tcW w:w="4205" w:type="dxa"/>
                  <w:shd w:val="clear" w:color="auto" w:fill="auto"/>
                  <w:vAlign w:val="center"/>
                </w:tcPr>
                <w:p w14:paraId="6D77811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气体流量校准器</w:t>
                  </w:r>
                </w:p>
              </w:tc>
              <w:tc>
                <w:tcPr>
                  <w:tcW w:w="1335" w:type="dxa"/>
                  <w:vAlign w:val="center"/>
                </w:tcPr>
                <w:p w14:paraId="640A9E7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2085" w:type="dxa"/>
                  <w:vMerge w:val="continue"/>
                  <w:vAlign w:val="center"/>
                </w:tcPr>
                <w:p w14:paraId="3BF1EBDC">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04045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58F51634">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19</w:t>
                  </w:r>
                </w:p>
              </w:tc>
              <w:tc>
                <w:tcPr>
                  <w:tcW w:w="4205" w:type="dxa"/>
                  <w:shd w:val="clear" w:color="auto" w:fill="auto"/>
                  <w:vAlign w:val="center"/>
                </w:tcPr>
                <w:p w14:paraId="4FED80D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荧光分光光度计</w:t>
                  </w:r>
                </w:p>
              </w:tc>
              <w:tc>
                <w:tcPr>
                  <w:tcW w:w="1335" w:type="dxa"/>
                  <w:vAlign w:val="center"/>
                </w:tcPr>
                <w:p w14:paraId="5BA7F00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00DAF85F">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64783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72DA78F2">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c>
                <w:tcPr>
                  <w:tcW w:w="4205" w:type="dxa"/>
                  <w:shd w:val="clear" w:color="auto" w:fill="auto"/>
                  <w:vAlign w:val="center"/>
                </w:tcPr>
                <w:p w14:paraId="6A79911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多光谱小型无人机</w:t>
                  </w:r>
                </w:p>
              </w:tc>
              <w:tc>
                <w:tcPr>
                  <w:tcW w:w="1335" w:type="dxa"/>
                  <w:vAlign w:val="center"/>
                </w:tcPr>
                <w:p w14:paraId="6EE5D5F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4DFDD38A">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2BA1D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478FF885">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p>
              </w:tc>
              <w:tc>
                <w:tcPr>
                  <w:tcW w:w="4205" w:type="dxa"/>
                  <w:shd w:val="clear" w:color="auto" w:fill="auto"/>
                  <w:vAlign w:val="center"/>
                </w:tcPr>
                <w:p w14:paraId="1D1E5C9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台式恒温振荡器</w:t>
                  </w:r>
                </w:p>
              </w:tc>
              <w:tc>
                <w:tcPr>
                  <w:tcW w:w="1335" w:type="dxa"/>
                  <w:vAlign w:val="center"/>
                </w:tcPr>
                <w:p w14:paraId="0BFB185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48ABD07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18AA4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4FB8CECD">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w:t>
                  </w:r>
                </w:p>
              </w:tc>
              <w:tc>
                <w:tcPr>
                  <w:tcW w:w="4205" w:type="dxa"/>
                  <w:vAlign w:val="center"/>
                </w:tcPr>
                <w:p w14:paraId="67C77F1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危化品安全管理智能设备及系统</w:t>
                  </w:r>
                </w:p>
              </w:tc>
              <w:tc>
                <w:tcPr>
                  <w:tcW w:w="1335" w:type="dxa"/>
                  <w:vAlign w:val="center"/>
                </w:tcPr>
                <w:p w14:paraId="6428DD1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61A08460">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r w14:paraId="26BE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shd w:val="clear" w:color="auto" w:fill="auto"/>
                  <w:vAlign w:val="center"/>
                </w:tcPr>
                <w:p w14:paraId="69214E8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w:t>
                  </w:r>
                </w:p>
              </w:tc>
              <w:tc>
                <w:tcPr>
                  <w:tcW w:w="4205" w:type="dxa"/>
                  <w:vAlign w:val="center"/>
                </w:tcPr>
                <w:p w14:paraId="0925ECE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标准品信息化储存管理系统</w:t>
                  </w:r>
                </w:p>
              </w:tc>
              <w:tc>
                <w:tcPr>
                  <w:tcW w:w="1335" w:type="dxa"/>
                  <w:vAlign w:val="center"/>
                </w:tcPr>
                <w:p w14:paraId="4D7DEDC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2085" w:type="dxa"/>
                  <w:vMerge w:val="continue"/>
                  <w:vAlign w:val="center"/>
                </w:tcPr>
                <w:p w14:paraId="2E59DBDA">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sz w:val="21"/>
                      <w:szCs w:val="21"/>
                      <w:lang w:val="en-US" w:eastAsia="zh-CN"/>
                    </w:rPr>
                  </w:pPr>
                </w:p>
              </w:tc>
            </w:tr>
          </w:tbl>
          <w:p w14:paraId="595DFDEE">
            <w:pPr>
              <w:spacing w:after="120"/>
              <w:rPr>
                <w:rFonts w:ascii="Times New Roman" w:hAnsi="Times New Roman" w:eastAsia="宋体" w:cs="Times New Roman"/>
                <w:color w:val="auto"/>
                <w:kern w:val="0"/>
              </w:rPr>
            </w:pPr>
          </w:p>
        </w:tc>
      </w:tr>
      <w:tr w14:paraId="02D1F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6189CAE">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4</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F10EEAA">
            <w:pPr>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rPr>
              <w:t>本项目预算</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35CF963">
            <w:pPr>
              <w:spacing w:line="240" w:lineRule="exact"/>
              <w:jc w:val="left"/>
              <w:rPr>
                <w:rFonts w:ascii="Times New Roman" w:hAnsi="Times New Roman" w:eastAsia="宋体" w:cs="Times New Roman"/>
                <w:bCs/>
                <w:color w:val="auto"/>
                <w:szCs w:val="21"/>
              </w:rPr>
            </w:pPr>
            <w:r>
              <w:rPr>
                <w:rFonts w:hint="eastAsia" w:ascii="宋体" w:hAnsi="宋体" w:eastAsia="宋体" w:cs="Times New Roman"/>
                <w:b/>
                <w:bCs/>
                <w:color w:val="auto"/>
                <w:lang w:val="en-US" w:eastAsia="zh-CN"/>
              </w:rPr>
              <w:t>人民币肆佰玖拾柒万玖仟元整（¥4,979,000.00）</w:t>
            </w:r>
          </w:p>
        </w:tc>
      </w:tr>
      <w:tr w14:paraId="57AB1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94EA036">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5</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4C188B3">
            <w:pPr>
              <w:jc w:val="center"/>
              <w:rPr>
                <w:rFonts w:hint="eastAsia" w:ascii="宋体" w:hAnsi="宋体" w:eastAsia="宋体" w:cs="Times New Roman"/>
                <w:b/>
                <w:color w:val="auto"/>
              </w:rPr>
            </w:pPr>
            <w:r>
              <w:rPr>
                <w:rFonts w:hint="eastAsia" w:ascii="宋体" w:hAnsi="宋体" w:eastAsia="宋体" w:cs="Times New Roman"/>
                <w:b/>
                <w:color w:val="auto"/>
              </w:rPr>
              <w:t>时间要求</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28B0D40">
            <w:pPr>
              <w:autoSpaceDE w:val="0"/>
              <w:autoSpaceDN w:val="0"/>
              <w:adjustRightInd w:val="0"/>
              <w:snapToGrid w:val="0"/>
              <w:spacing w:line="312" w:lineRule="auto"/>
              <w:rPr>
                <w:rFonts w:ascii="Times New Roman" w:hAnsi="Times New Roman" w:eastAsia="宋体" w:cs="Times New Roman"/>
                <w:color w:val="auto"/>
                <w:szCs w:val="21"/>
              </w:rPr>
            </w:pPr>
            <w:r>
              <w:rPr>
                <w:rFonts w:hint="eastAsia" w:ascii="宋体" w:hAnsi="宋体" w:eastAsia="宋体" w:cs="Times New Roman"/>
                <w:b/>
                <w:bCs/>
                <w:color w:val="auto"/>
              </w:rPr>
              <w:t>合同</w:t>
            </w:r>
            <w:r>
              <w:rPr>
                <w:rFonts w:hint="eastAsia" w:ascii="宋体" w:hAnsi="宋体" w:eastAsia="宋体" w:cs="Times New Roman"/>
                <w:b/>
                <w:bCs/>
                <w:color w:val="auto"/>
                <w:lang w:val="en-US" w:eastAsia="zh-CN"/>
              </w:rPr>
              <w:t>签订后50天</w:t>
            </w:r>
            <w:r>
              <w:rPr>
                <w:rFonts w:hint="eastAsia" w:ascii="宋体" w:hAnsi="宋体" w:eastAsia="宋体" w:cs="Times New Roman"/>
                <w:b/>
                <w:bCs/>
                <w:color w:val="auto"/>
              </w:rPr>
              <w:t>内完成设备供货、安装、调试。（除特殊说明外）</w:t>
            </w:r>
          </w:p>
        </w:tc>
      </w:tr>
      <w:tr w14:paraId="659B5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8C6049F">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6</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1C7324E">
            <w:pPr>
              <w:spacing w:line="240" w:lineRule="exact"/>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投标有效期</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703CC8E">
            <w:pPr>
              <w:spacing w:line="240" w:lineRule="exact"/>
              <w:rPr>
                <w:rFonts w:ascii="Times New Roman" w:hAnsi="Times New Roman" w:eastAsia="宋体" w:cs="Times New Roman"/>
                <w:color w:val="auto"/>
                <w:szCs w:val="21"/>
              </w:rPr>
            </w:pPr>
            <w:r>
              <w:rPr>
                <w:rFonts w:ascii="Times New Roman" w:hAnsi="Times New Roman" w:eastAsia="宋体" w:cs="Times New Roman"/>
                <w:color w:val="auto"/>
                <w:szCs w:val="21"/>
                <w:u w:val="single"/>
              </w:rPr>
              <w:t>90</w:t>
            </w:r>
            <w:r>
              <w:rPr>
                <w:rFonts w:hint="eastAsia" w:ascii="Times New Roman" w:hAnsi="Times New Roman" w:eastAsia="宋体" w:cs="Times New Roman"/>
                <w:color w:val="auto"/>
                <w:szCs w:val="21"/>
                <w:u w:val="single"/>
              </w:rPr>
              <w:t>日</w:t>
            </w:r>
            <w:r>
              <w:rPr>
                <w:rFonts w:hint="eastAsia" w:ascii="Times New Roman" w:hAnsi="Times New Roman" w:eastAsia="宋体" w:cs="Times New Roman"/>
                <w:color w:val="auto"/>
                <w:szCs w:val="21"/>
              </w:rPr>
              <w:t>历天。（从投标截止之日算起）</w:t>
            </w:r>
          </w:p>
        </w:tc>
      </w:tr>
      <w:tr w14:paraId="3F9BA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8756F7E">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7</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3EE4FC6">
            <w:pPr>
              <w:spacing w:line="240" w:lineRule="exact"/>
              <w:jc w:val="center"/>
              <w:rPr>
                <w:rFonts w:hint="eastAsia" w:ascii="Times New Roman" w:hAnsi="Times New Roman" w:eastAsia="宋体" w:cs="Times New Roman"/>
                <w:b/>
                <w:color w:val="auto"/>
                <w:szCs w:val="21"/>
                <w:lang w:eastAsia="zh-CN"/>
              </w:rPr>
            </w:pPr>
            <w:r>
              <w:rPr>
                <w:rFonts w:hint="eastAsia" w:ascii="Times New Roman" w:hAnsi="Times New Roman" w:eastAsia="宋体" w:cs="Times New Roman"/>
                <w:b/>
                <w:color w:val="auto"/>
                <w:szCs w:val="21"/>
                <w:lang w:eastAsia="zh-CN"/>
              </w:rPr>
              <w:t>评标方法</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75F538B">
            <w:pPr>
              <w:spacing w:line="24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综合评分法</w:t>
            </w:r>
          </w:p>
        </w:tc>
      </w:tr>
      <w:tr w14:paraId="7ACCA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CCDDF11">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8</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21190FD">
            <w:pPr>
              <w:spacing w:line="240" w:lineRule="exact"/>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签订合同</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467DCDE">
            <w:pPr>
              <w:spacing w:line="24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中标通知书发出后</w:t>
            </w:r>
            <w:r>
              <w:rPr>
                <w:rFonts w:ascii="Times New Roman" w:hAnsi="Times New Roman" w:eastAsia="宋体" w:cs="Times New Roman"/>
                <w:color w:val="auto"/>
                <w:szCs w:val="21"/>
                <w:u w:val="single"/>
              </w:rPr>
              <w:t>30</w:t>
            </w:r>
            <w:r>
              <w:rPr>
                <w:rFonts w:hint="eastAsia" w:ascii="Times New Roman" w:hAnsi="Times New Roman" w:eastAsia="宋体" w:cs="Times New Roman"/>
                <w:color w:val="auto"/>
                <w:szCs w:val="21"/>
              </w:rPr>
              <w:t>天内</w:t>
            </w:r>
          </w:p>
        </w:tc>
      </w:tr>
      <w:tr w14:paraId="7492B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3FB95D6">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9</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5BE85A5">
            <w:pPr>
              <w:spacing w:line="240" w:lineRule="auto"/>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资金结算</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C64B41D">
            <w:pPr>
              <w:pageBreakBefore w:val="0"/>
              <w:kinsoku/>
              <w:wordWrap/>
              <w:overflowPunct/>
              <w:topLinePunct w:val="0"/>
              <w:autoSpaceDE w:val="0"/>
              <w:autoSpaceDN w:val="0"/>
              <w:bidi w:val="0"/>
              <w:adjustRightInd w:val="0"/>
              <w:snapToGrid w:val="0"/>
              <w:spacing w:line="320" w:lineRule="exact"/>
              <w:rPr>
                <w:rFonts w:hint="eastAsia" w:ascii="宋体" w:hAnsi="宋体" w:eastAsia="宋体" w:cs="Times New Roman"/>
                <w:b/>
                <w:bCs/>
                <w:color w:val="auto"/>
                <w:lang w:val="en-US" w:eastAsia="zh-CN"/>
              </w:rPr>
            </w:pPr>
            <w:r>
              <w:rPr>
                <w:rFonts w:hint="eastAsia" w:ascii="宋体" w:hAnsi="宋体" w:eastAsia="宋体" w:cs="Times New Roman"/>
                <w:b/>
                <w:bCs/>
                <w:color w:val="auto"/>
                <w:lang w:val="en-US" w:eastAsia="zh-CN"/>
              </w:rPr>
              <w:t>1.合同生效及具备实施条件后7个工作日内，支付合同总价的40%作为预付款；</w:t>
            </w:r>
          </w:p>
          <w:p w14:paraId="30AFEE01">
            <w:pPr>
              <w:pageBreakBefore w:val="0"/>
              <w:kinsoku/>
              <w:wordWrap/>
              <w:overflowPunct/>
              <w:topLinePunct w:val="0"/>
              <w:autoSpaceDE w:val="0"/>
              <w:autoSpaceDN w:val="0"/>
              <w:bidi w:val="0"/>
              <w:adjustRightInd w:val="0"/>
              <w:snapToGrid w:val="0"/>
              <w:spacing w:line="320" w:lineRule="exact"/>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2.</w:t>
            </w:r>
            <w:r>
              <w:rPr>
                <w:rFonts w:hint="eastAsia" w:ascii="宋体" w:hAnsi="宋体" w:eastAsia="宋体" w:cs="Times New Roman"/>
                <w:b/>
                <w:bCs/>
                <w:color w:val="auto"/>
                <w:lang w:val="en-US" w:eastAsia="zh-CN"/>
              </w:rPr>
              <w:t>设备到货初验完成</w:t>
            </w:r>
            <w:r>
              <w:rPr>
                <w:rFonts w:hint="eastAsia" w:ascii="宋体" w:hAnsi="宋体" w:eastAsia="宋体" w:cs="Times New Roman"/>
                <w:color w:val="auto"/>
                <w:lang w:val="en-US" w:eastAsia="zh-CN"/>
              </w:rPr>
              <w:t>，财政资金到位后7个工作日内，支付合同总价的30%；</w:t>
            </w:r>
          </w:p>
          <w:p w14:paraId="5E062840">
            <w:pPr>
              <w:pageBreakBefore w:val="0"/>
              <w:kinsoku/>
              <w:wordWrap/>
              <w:overflowPunct/>
              <w:topLinePunct w:val="0"/>
              <w:autoSpaceDE w:val="0"/>
              <w:autoSpaceDN w:val="0"/>
              <w:bidi w:val="0"/>
              <w:adjustRightInd w:val="0"/>
              <w:snapToGrid w:val="0"/>
              <w:spacing w:line="320" w:lineRule="exact"/>
              <w:rPr>
                <w:rFonts w:hint="eastAsia" w:ascii="宋体" w:hAnsi="宋体" w:eastAsia="宋体" w:cs="Times New Roman"/>
                <w:bCs/>
                <w:color w:val="auto"/>
                <w:szCs w:val="21"/>
              </w:rPr>
            </w:pPr>
            <w:r>
              <w:rPr>
                <w:rFonts w:hint="eastAsia" w:ascii="宋体" w:hAnsi="宋体" w:eastAsia="宋体" w:cs="Times New Roman"/>
                <w:color w:val="auto"/>
                <w:lang w:val="en-US" w:eastAsia="zh-CN"/>
              </w:rPr>
              <w:t>3.</w:t>
            </w:r>
            <w:r>
              <w:rPr>
                <w:rFonts w:hint="eastAsia" w:ascii="宋体" w:hAnsi="宋体" w:eastAsia="宋体" w:cs="Times New Roman"/>
                <w:b/>
                <w:bCs/>
                <w:color w:val="auto"/>
                <w:lang w:val="en-US" w:eastAsia="zh-CN"/>
              </w:rPr>
              <w:t>设备稳定运行10日以上，并通过验收合格</w:t>
            </w:r>
            <w:r>
              <w:rPr>
                <w:rFonts w:hint="eastAsia" w:ascii="宋体" w:hAnsi="宋体" w:eastAsia="宋体" w:cs="Times New Roman"/>
                <w:color w:val="auto"/>
                <w:lang w:val="en-US" w:eastAsia="zh-CN"/>
              </w:rPr>
              <w:t>，财政资金到位后7个工作日内，支付剩余款项。</w:t>
            </w:r>
          </w:p>
        </w:tc>
      </w:tr>
      <w:tr w14:paraId="3D4F2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30E17DA">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10</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67B078F">
            <w:pPr>
              <w:spacing w:line="240" w:lineRule="exact"/>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投标报价</w:t>
            </w:r>
          </w:p>
          <w:p w14:paraId="6E683F67">
            <w:pPr>
              <w:spacing w:line="240" w:lineRule="exact"/>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与费用</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66BE1D2">
            <w:pPr>
              <w:spacing w:line="240" w:lineRule="exact"/>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本项目的投标应以人民币报价，投标报价应包括所有费用。</w:t>
            </w:r>
          </w:p>
          <w:p w14:paraId="09482CDF">
            <w:pPr>
              <w:spacing w:line="240" w:lineRule="exact"/>
              <w:rPr>
                <w:rFonts w:ascii="Times New Roman" w:hAnsi="Times New Roman" w:eastAsia="宋体" w:cs="Times New Roman"/>
                <w:bCs/>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投</w:t>
            </w:r>
            <w:r>
              <w:rPr>
                <w:rFonts w:hint="eastAsia" w:ascii="Times New Roman" w:hAnsi="Times New Roman" w:eastAsia="宋体" w:cs="Times New Roman"/>
                <w:bCs/>
                <w:color w:val="auto"/>
                <w:szCs w:val="21"/>
              </w:rPr>
              <w:t xml:space="preserve">标人应承担其参加本招标活动自身所发生的费用。 </w:t>
            </w:r>
          </w:p>
          <w:p w14:paraId="4A4DFDF1">
            <w:pPr>
              <w:spacing w:line="240" w:lineRule="exact"/>
              <w:rPr>
                <w:rFonts w:ascii="Times New Roman" w:hAnsi="Times New Roman" w:eastAsia="宋体" w:cs="Times New Roman"/>
                <w:bCs/>
                <w:color w:val="auto"/>
                <w:szCs w:val="21"/>
              </w:rPr>
            </w:pPr>
            <w:r>
              <w:rPr>
                <w:rFonts w:ascii="Times New Roman" w:hAnsi="Times New Roman" w:eastAsia="宋体" w:cs="Times New Roman"/>
                <w:bCs/>
                <w:color w:val="auto"/>
                <w:szCs w:val="21"/>
              </w:rPr>
              <w:t>3.</w:t>
            </w:r>
            <w:r>
              <w:rPr>
                <w:rFonts w:hint="eastAsia" w:ascii="Times New Roman" w:hAnsi="Times New Roman" w:eastAsia="宋体" w:cs="Times New Roman"/>
                <w:bCs/>
                <w:color w:val="auto"/>
                <w:szCs w:val="21"/>
              </w:rPr>
              <w:t>中标人须缴纳招标代理费，收费标准为：按项目中标金额为计费基数，100万元（含）以下部分按1.5%收取，100万-500万按1.1%收取，所计算出的代理费总额下浮20%。</w:t>
            </w:r>
          </w:p>
          <w:p w14:paraId="3CE7CF5F">
            <w:pPr>
              <w:spacing w:line="240" w:lineRule="exact"/>
              <w:rPr>
                <w:rFonts w:ascii="Times New Roman" w:hAnsi="Times New Roman" w:eastAsia="宋体" w:cs="Times New Roman"/>
                <w:color w:val="auto"/>
                <w:szCs w:val="21"/>
              </w:rPr>
            </w:pPr>
            <w:r>
              <w:rPr>
                <w:rFonts w:ascii="Times New Roman" w:hAnsi="Times New Roman" w:eastAsia="宋体" w:cs="Times New Roman"/>
                <w:color w:val="auto"/>
              </w:rPr>
              <w:t>4.</w:t>
            </w:r>
            <w:r>
              <w:rPr>
                <w:rFonts w:hint="eastAsia" w:ascii="Times New Roman" w:hAnsi="Times New Roman" w:eastAsia="宋体" w:cs="Times New Roman"/>
                <w:color w:val="auto"/>
              </w:rPr>
              <w:t>中标通知书发出的同时，中标人应及时支付招标代理费，收到服务费后提供全额发票。中标结果确认后，因中标单位自身原因退出中标，招标代理费不予退回。</w:t>
            </w:r>
          </w:p>
        </w:tc>
      </w:tr>
      <w:tr w14:paraId="41A0C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36DB1E7">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11</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01EC346">
            <w:pPr>
              <w:spacing w:line="240" w:lineRule="exact"/>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银行账号</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6F736DC">
            <w:pPr>
              <w:spacing w:line="24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收款单位：深圳市国信招标有限公司舟山分公司</w:t>
            </w:r>
          </w:p>
          <w:p w14:paraId="1436DCDE">
            <w:pPr>
              <w:spacing w:line="24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开户银行：中国工商银行舟山市定海区支行</w:t>
            </w:r>
          </w:p>
          <w:p w14:paraId="01DE0DC2">
            <w:pPr>
              <w:spacing w:line="24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银行账号：</w:t>
            </w:r>
            <w:r>
              <w:rPr>
                <w:rFonts w:ascii="Times New Roman" w:hAnsi="Times New Roman" w:eastAsia="宋体" w:cs="Times New Roman"/>
                <w:color w:val="auto"/>
                <w:szCs w:val="21"/>
              </w:rPr>
              <w:t>1206020209200081758</w:t>
            </w:r>
          </w:p>
        </w:tc>
      </w:tr>
      <w:tr w14:paraId="7DF72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67461A8">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12</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3D68C67">
            <w:pPr>
              <w:spacing w:line="240" w:lineRule="exact"/>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质量标准</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D54C44F">
            <w:pPr>
              <w:spacing w:line="240" w:lineRule="exact"/>
              <w:rPr>
                <w:rFonts w:ascii="Times New Roman" w:hAnsi="Times New Roman" w:eastAsia="宋体" w:cs="Times New Roman"/>
                <w:color w:val="auto"/>
                <w:szCs w:val="21"/>
              </w:rPr>
            </w:pPr>
            <w:r>
              <w:rPr>
                <w:rFonts w:hint="eastAsia" w:ascii="宋体" w:hAnsi="宋体" w:eastAsia="宋体" w:cs="Times New Roman"/>
                <w:color w:val="auto"/>
              </w:rPr>
              <w:t>合同约定，经验收合格</w:t>
            </w:r>
          </w:p>
        </w:tc>
      </w:tr>
      <w:tr w14:paraId="7FD35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0FEC3E6">
            <w:pPr>
              <w:snapToGrid w:val="0"/>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rPr>
              <w:t>13</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E835F12">
            <w:pPr>
              <w:spacing w:line="240" w:lineRule="exact"/>
              <w:jc w:val="center"/>
              <w:rPr>
                <w:rFonts w:ascii="Times New Roman" w:hAnsi="Times New Roman" w:eastAsia="宋体" w:cs="Times New Roman"/>
                <w:b/>
                <w:color w:val="auto"/>
              </w:rPr>
            </w:pPr>
            <w:r>
              <w:rPr>
                <w:rFonts w:hint="eastAsia" w:ascii="Times New Roman" w:hAnsi="Times New Roman" w:eastAsia="宋体" w:cs="Times New Roman"/>
                <w:b/>
                <w:color w:val="auto"/>
                <w:szCs w:val="21"/>
              </w:rPr>
              <w:t>履约保证金</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2CED38D">
            <w:pP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无</w:t>
            </w:r>
          </w:p>
        </w:tc>
      </w:tr>
      <w:tr w14:paraId="10F25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4AC39EC6">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w:t>
            </w:r>
            <w:r>
              <w:rPr>
                <w:rFonts w:hint="eastAsia" w:ascii="Times New Roman" w:hAnsi="Times New Roman" w:eastAsia="宋体" w:cs="Times New Roman"/>
                <w:b/>
                <w:color w:val="auto"/>
              </w:rPr>
              <w:t>4</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898A509">
            <w:pPr>
              <w:snapToGrid w:val="0"/>
              <w:jc w:val="center"/>
              <w:rPr>
                <w:rFonts w:ascii="Times New Roman" w:hAnsi="Times New Roman" w:eastAsia="宋体" w:cs="Times New Roman"/>
                <w:b/>
                <w:color w:val="auto"/>
              </w:rPr>
            </w:pPr>
            <w:r>
              <w:rPr>
                <w:rFonts w:hint="eastAsia" w:ascii="Times New Roman" w:hAnsi="Times New Roman" w:eastAsia="宋体" w:cs="Times New Roman"/>
                <w:b/>
                <w:color w:val="auto"/>
              </w:rPr>
              <w:t>投标文件的</w:t>
            </w:r>
          </w:p>
          <w:p w14:paraId="1373C1F5">
            <w:pPr>
              <w:snapToGrid w:val="0"/>
              <w:jc w:val="center"/>
              <w:rPr>
                <w:rFonts w:ascii="Times New Roman" w:hAnsi="Times New Roman" w:eastAsia="宋体" w:cs="Times New Roman"/>
                <w:b/>
                <w:color w:val="auto"/>
              </w:rPr>
            </w:pPr>
            <w:r>
              <w:rPr>
                <w:rFonts w:hint="eastAsia" w:ascii="Times New Roman" w:hAnsi="Times New Roman" w:eastAsia="宋体" w:cs="Times New Roman"/>
                <w:b/>
                <w:color w:val="auto"/>
              </w:rPr>
              <w:t>组成</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7EDFB20">
            <w:pPr>
              <w:snapToGrid w:val="0"/>
              <w:rPr>
                <w:rFonts w:ascii="Times New Roman" w:hAnsi="Times New Roman" w:eastAsia="宋体" w:cs="Times New Roman"/>
                <w:color w:val="auto"/>
                <w:szCs w:val="21"/>
              </w:rPr>
            </w:pPr>
            <w:r>
              <w:rPr>
                <w:rFonts w:hint="eastAsia" w:ascii="Times New Roman" w:hAnsi="Times New Roman" w:eastAsia="宋体" w:cs="Times New Roman"/>
                <w:color w:val="auto"/>
                <w:szCs w:val="21"/>
              </w:rPr>
              <w:t>投标文件由资格响应文件、商务及技术响应文件、报价文件组成。</w:t>
            </w:r>
          </w:p>
        </w:tc>
      </w:tr>
      <w:tr w14:paraId="30633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2EE1B78C">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w:t>
            </w:r>
            <w:r>
              <w:rPr>
                <w:rFonts w:hint="eastAsia" w:ascii="Times New Roman" w:hAnsi="Times New Roman" w:eastAsia="宋体" w:cs="Times New Roman"/>
                <w:b/>
                <w:color w:val="auto"/>
              </w:rPr>
              <w:t>5</w:t>
            </w:r>
          </w:p>
        </w:tc>
        <w:tc>
          <w:tcPr>
            <w:tcW w:w="1164"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bottom w:w="15" w:type="dxa"/>
              <w:right w:w="15" w:type="dxa"/>
            </w:tcMar>
            <w:vAlign w:val="center"/>
          </w:tcPr>
          <w:p w14:paraId="5E00D862">
            <w:pPr>
              <w:snapToGrid w:val="0"/>
              <w:jc w:val="center"/>
              <w:rPr>
                <w:rFonts w:ascii="Times New Roman" w:hAnsi="Times New Roman" w:eastAsia="宋体" w:cs="Times New Roman"/>
                <w:b/>
                <w:color w:val="auto"/>
              </w:rPr>
            </w:pPr>
            <w:r>
              <w:rPr>
                <w:rFonts w:hint="eastAsia" w:ascii="Times New Roman" w:hAnsi="Times New Roman" w:eastAsia="宋体" w:cs="Times New Roman"/>
                <w:b/>
                <w:color w:val="auto"/>
              </w:rPr>
              <w:t>投标文件的</w:t>
            </w:r>
          </w:p>
          <w:p w14:paraId="582CFA17">
            <w:pPr>
              <w:ind w:firstLine="517" w:firstLineChars="245"/>
              <w:rPr>
                <w:rFonts w:ascii="Times New Roman" w:hAnsi="Times New Roman" w:eastAsia="宋体" w:cs="Times New Roman"/>
                <w:b/>
                <w:color w:val="auto"/>
                <w:szCs w:val="21"/>
                <w:shd w:val="pct10" w:color="auto" w:fill="FFFFFF"/>
              </w:rPr>
            </w:pPr>
            <w:r>
              <w:rPr>
                <w:rFonts w:hint="eastAsia" w:ascii="Times New Roman" w:hAnsi="Times New Roman" w:eastAsia="宋体" w:cs="Times New Roman"/>
                <w:b/>
                <w:color w:val="auto"/>
              </w:rPr>
              <w:t>制作</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F975F75">
            <w:pPr>
              <w:rPr>
                <w:rFonts w:ascii="Times New Roman" w:hAnsi="Times New Roman" w:eastAsia="宋体" w:cs="Times New Roman"/>
                <w:color w:val="auto"/>
                <w:szCs w:val="21"/>
              </w:rPr>
            </w:pPr>
            <w:r>
              <w:rPr>
                <w:rFonts w:hint="eastAsia" w:ascii="Times New Roman" w:hAnsi="Times New Roman" w:eastAsia="宋体" w:cs="Times New Roman"/>
                <w:color w:val="auto"/>
                <w:szCs w:val="21"/>
              </w:rPr>
              <w:t>本项目实行电子投标。</w:t>
            </w:r>
          </w:p>
          <w:p w14:paraId="1B2351AC">
            <w:pPr>
              <w:rPr>
                <w:rFonts w:ascii="Times New Roman" w:hAnsi="Times New Roman" w:eastAsia="宋体" w:cs="Times New Roman"/>
                <w:color w:val="auto"/>
                <w:szCs w:val="21"/>
              </w:rPr>
            </w:pPr>
            <w:r>
              <w:rPr>
                <w:rFonts w:hint="eastAsia" w:ascii="Times New Roman" w:hAnsi="Times New Roman" w:eastAsia="宋体" w:cs="Times New Roman"/>
                <w:color w:val="auto"/>
                <w:szCs w:val="21"/>
              </w:rPr>
              <w:t>投标人应准备电子投标文件、以介质存储的数据电文形式的备份投标文件：</w:t>
            </w:r>
          </w:p>
          <w:p w14:paraId="09F8EB3B">
            <w:pPr>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）电子投标文件，按政采云平台项目采购</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电子交易操作指南及本招标文件要求递交。</w:t>
            </w:r>
          </w:p>
          <w:p w14:paraId="0F9E18DF">
            <w:pPr>
              <w:rPr>
                <w:rFonts w:ascii="Times New Roman" w:hAnsi="Times New Roman" w:eastAsia="宋体" w:cs="Times New Roman"/>
                <w:color w:val="auto"/>
                <w:szCs w:val="21"/>
              </w:rPr>
            </w:pPr>
            <w:r>
              <w:rPr>
                <w:rFonts w:hint="eastAsia" w:ascii="Times New Roman" w:hAnsi="Times New Roman" w:eastAsia="宋体" w:cs="Times New Roman"/>
                <w:color w:val="auto"/>
                <w:szCs w:val="21"/>
              </w:rPr>
              <w:t>（</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）以介质存储的数据电文形式的备份投标文件，按政采云平台项目采购</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电子交易操作指南中上传的电子投标文件格式，以</w:t>
            </w:r>
            <w:r>
              <w:rPr>
                <w:rFonts w:ascii="Times New Roman" w:hAnsi="Times New Roman" w:eastAsia="宋体" w:cs="Times New Roman"/>
                <w:color w:val="auto"/>
                <w:szCs w:val="21"/>
              </w:rPr>
              <w:t>U</w:t>
            </w:r>
            <w:r>
              <w:rPr>
                <w:rFonts w:hint="eastAsia" w:ascii="Times New Roman" w:hAnsi="Times New Roman" w:eastAsia="宋体" w:cs="Times New Roman"/>
                <w:color w:val="auto"/>
                <w:szCs w:val="21"/>
              </w:rPr>
              <w:t>盘形式存储提供。数量为</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份。</w:t>
            </w:r>
          </w:p>
          <w:p w14:paraId="0BE52A47">
            <w:pPr>
              <w:rPr>
                <w:rFonts w:ascii="Times New Roman" w:hAnsi="Times New Roman" w:eastAsia="宋体" w:cs="Times New Roman"/>
                <w:color w:val="auto"/>
                <w:szCs w:val="21"/>
              </w:rPr>
            </w:pPr>
            <w:r>
              <w:rPr>
                <w:rFonts w:hint="eastAsia" w:ascii="Times New Roman" w:hAnsi="Times New Roman" w:eastAsia="宋体" w:cs="Times New Roman"/>
                <w:color w:val="auto"/>
                <w:szCs w:val="21"/>
              </w:rPr>
              <w:t>投标文件均由资格响应文件、商务及技术响应文件、报价文件组成。</w:t>
            </w:r>
          </w:p>
        </w:tc>
      </w:tr>
      <w:tr w14:paraId="5993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3"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AAB5260">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w:t>
            </w:r>
            <w:r>
              <w:rPr>
                <w:rFonts w:hint="eastAsia" w:ascii="Times New Roman" w:hAnsi="Times New Roman" w:eastAsia="宋体" w:cs="Times New Roman"/>
                <w:b/>
                <w:color w:val="auto"/>
              </w:rPr>
              <w:t>6</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3EDF4B4">
            <w:pPr>
              <w:snapToGrid w:val="0"/>
              <w:jc w:val="center"/>
              <w:rPr>
                <w:rFonts w:ascii="Times New Roman" w:hAnsi="Times New Roman" w:eastAsia="宋体" w:cs="Times New Roman"/>
                <w:b/>
                <w:color w:val="auto"/>
              </w:rPr>
            </w:pPr>
            <w:r>
              <w:rPr>
                <w:rFonts w:hint="eastAsia" w:ascii="Times New Roman" w:hAnsi="Times New Roman" w:eastAsia="宋体" w:cs="Times New Roman"/>
                <w:b/>
                <w:color w:val="auto"/>
              </w:rPr>
              <w:t>投标文件的</w:t>
            </w:r>
          </w:p>
          <w:p w14:paraId="1085719D">
            <w:pPr>
              <w:jc w:val="center"/>
              <w:rPr>
                <w:rFonts w:ascii="Times New Roman" w:hAnsi="Times New Roman" w:eastAsia="宋体" w:cs="Times New Roman"/>
                <w:b/>
                <w:color w:val="auto"/>
                <w:sz w:val="22"/>
                <w:shd w:val="pct10" w:color="auto" w:fill="FFFFFF"/>
              </w:rPr>
            </w:pPr>
            <w:r>
              <w:rPr>
                <w:rFonts w:hint="eastAsia" w:ascii="Times New Roman" w:hAnsi="Times New Roman" w:eastAsia="宋体" w:cs="Times New Roman"/>
                <w:b/>
                <w:color w:val="auto"/>
              </w:rPr>
              <w:t>组成</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5BDE5DD">
            <w:pPr>
              <w:rPr>
                <w:rFonts w:ascii="Times New Roman" w:hAnsi="Times New Roman" w:eastAsia="宋体" w:cs="Times New Roman"/>
                <w:color w:val="auto"/>
                <w:sz w:val="22"/>
              </w:rPr>
            </w:pPr>
            <w:r>
              <w:rPr>
                <w:rFonts w:hint="eastAsia" w:ascii="Times New Roman" w:hAnsi="Times New Roman" w:eastAsia="宋体" w:cs="Times New Roman"/>
                <w:color w:val="auto"/>
                <w:sz w:val="22"/>
              </w:rPr>
              <w:t>投标人应当在投标截止时间前完成电子投标文件的传输递交，并可以补充、修改或者撤回电子投标文件。补充或者修改电子投标文件的，应当先行撤回原文件，补充、修改后重新传输递交。投标截止时间前未完成传输的，视为撤回投标文件。投标、响应截止时间后送达的投标、响应文件，将被政采云平台拒收。</w:t>
            </w:r>
          </w:p>
          <w:p w14:paraId="3665DDF0">
            <w:pPr>
              <w:rPr>
                <w:rFonts w:ascii="Times New Roman" w:hAnsi="Times New Roman" w:eastAsia="宋体" w:cs="Times New Roman"/>
                <w:color w:val="auto"/>
                <w:sz w:val="22"/>
              </w:rPr>
            </w:pPr>
            <w:r>
              <w:rPr>
                <w:rFonts w:hint="eastAsia" w:ascii="Times New Roman" w:hAnsi="Times New Roman" w:eastAsia="宋体" w:cs="Times New Roman"/>
                <w:color w:val="auto"/>
                <w:sz w:val="22"/>
              </w:rPr>
              <w:t>投标人应当在规定时间前将以介质存储的数据电文形式的备份投标文件寄到或送达采购代理公司：舟山市定海区昌国路</w:t>
            </w:r>
            <w:r>
              <w:rPr>
                <w:rFonts w:ascii="Times New Roman" w:hAnsi="Times New Roman" w:eastAsia="宋体" w:cs="Times New Roman"/>
                <w:color w:val="auto"/>
                <w:sz w:val="22"/>
              </w:rPr>
              <w:t>232</w:t>
            </w:r>
            <w:r>
              <w:rPr>
                <w:rFonts w:hint="eastAsia" w:ascii="Times New Roman" w:hAnsi="Times New Roman" w:eastAsia="宋体" w:cs="Times New Roman"/>
                <w:color w:val="auto"/>
                <w:sz w:val="22"/>
              </w:rPr>
              <w:t>号中楼</w:t>
            </w:r>
            <w:r>
              <w:rPr>
                <w:rFonts w:ascii="Times New Roman" w:hAnsi="Times New Roman" w:eastAsia="宋体" w:cs="Times New Roman"/>
                <w:color w:val="auto"/>
                <w:sz w:val="22"/>
              </w:rPr>
              <w:t>202</w:t>
            </w:r>
            <w:r>
              <w:rPr>
                <w:rFonts w:hint="eastAsia" w:ascii="Times New Roman" w:hAnsi="Times New Roman" w:eastAsia="宋体" w:cs="Times New Roman"/>
                <w:color w:val="auto"/>
                <w:sz w:val="22"/>
              </w:rPr>
              <w:t>(收件人：任女士，联系电话：13567673203）。逾期送达或未密封将被拒收。也可现场递交。</w:t>
            </w:r>
          </w:p>
          <w:p w14:paraId="3BD91EDF">
            <w:pPr>
              <w:rPr>
                <w:rFonts w:ascii="Times New Roman" w:hAnsi="Times New Roman" w:eastAsia="宋体" w:cs="Times New Roman"/>
                <w:color w:val="auto"/>
                <w:sz w:val="22"/>
              </w:rPr>
            </w:pPr>
            <w:r>
              <w:rPr>
                <w:rFonts w:hint="eastAsia" w:ascii="Times New Roman" w:hAnsi="Times New Roman" w:eastAsia="宋体" w:cs="Times New Roman"/>
                <w:color w:val="auto"/>
                <w:sz w:val="22"/>
              </w:rPr>
              <w:t>投标人递交以介质存储的数据电文形式的备份投标文件时，如出现下列情况之一的，将被拒收：</w:t>
            </w:r>
          </w:p>
          <w:p w14:paraId="65C8CC47">
            <w:pPr>
              <w:rPr>
                <w:rFonts w:ascii="Times New Roman" w:hAnsi="Times New Roman" w:eastAsia="宋体" w:cs="Times New Roman"/>
                <w:color w:val="auto"/>
                <w:sz w:val="22"/>
              </w:rPr>
            </w:pPr>
            <w:r>
              <w:rPr>
                <w:rFonts w:ascii="Times New Roman" w:hAnsi="Times New Roman" w:eastAsia="宋体" w:cs="Times New Roman"/>
                <w:color w:val="auto"/>
                <w:sz w:val="22"/>
              </w:rPr>
              <w:t>1.</w:t>
            </w:r>
            <w:r>
              <w:rPr>
                <w:rFonts w:hint="eastAsia" w:ascii="Times New Roman" w:hAnsi="Times New Roman" w:eastAsia="宋体" w:cs="Times New Roman"/>
                <w:color w:val="auto"/>
                <w:sz w:val="22"/>
              </w:rPr>
              <w:t>未按规定密封或标记的投标文件；</w:t>
            </w:r>
          </w:p>
          <w:p w14:paraId="591CF4EB">
            <w:pPr>
              <w:rPr>
                <w:rFonts w:ascii="Times New Roman" w:hAnsi="Times New Roman" w:eastAsia="宋体" w:cs="Times New Roman"/>
                <w:color w:val="auto"/>
                <w:sz w:val="22"/>
              </w:rPr>
            </w:pPr>
            <w:r>
              <w:rPr>
                <w:rFonts w:ascii="Times New Roman" w:hAnsi="Times New Roman" w:eastAsia="宋体" w:cs="Times New Roman"/>
                <w:color w:val="auto"/>
                <w:sz w:val="22"/>
              </w:rPr>
              <w:t>2.</w:t>
            </w:r>
            <w:r>
              <w:rPr>
                <w:rFonts w:hint="eastAsia" w:ascii="Times New Roman" w:hAnsi="Times New Roman" w:eastAsia="宋体" w:cs="Times New Roman"/>
                <w:color w:val="auto"/>
                <w:sz w:val="22"/>
              </w:rPr>
              <w:t>由于包装不妥，在送交途中严重破损或失散的；</w:t>
            </w:r>
          </w:p>
          <w:p w14:paraId="6431DE01">
            <w:pPr>
              <w:rPr>
                <w:rFonts w:ascii="Times New Roman" w:hAnsi="Times New Roman" w:eastAsia="宋体" w:cs="Times New Roman"/>
                <w:color w:val="auto"/>
                <w:sz w:val="22"/>
              </w:rPr>
            </w:pPr>
            <w:r>
              <w:rPr>
                <w:rFonts w:ascii="Times New Roman" w:hAnsi="Times New Roman" w:eastAsia="宋体" w:cs="Times New Roman"/>
                <w:color w:val="auto"/>
                <w:sz w:val="22"/>
              </w:rPr>
              <w:t>3.</w:t>
            </w:r>
            <w:r>
              <w:rPr>
                <w:rFonts w:hint="eastAsia" w:ascii="Times New Roman" w:hAnsi="Times New Roman" w:eastAsia="宋体" w:cs="Times New Roman"/>
                <w:color w:val="auto"/>
                <w:sz w:val="22"/>
              </w:rPr>
              <w:t>未成功办理投标人报名手续的；</w:t>
            </w:r>
          </w:p>
          <w:p w14:paraId="428C9D18">
            <w:pPr>
              <w:rPr>
                <w:rFonts w:ascii="Times New Roman" w:hAnsi="Times New Roman" w:eastAsia="宋体" w:cs="Times New Roman"/>
                <w:color w:val="auto"/>
                <w:sz w:val="22"/>
              </w:rPr>
            </w:pPr>
            <w:r>
              <w:rPr>
                <w:rFonts w:ascii="Times New Roman" w:hAnsi="Times New Roman" w:eastAsia="宋体" w:cs="Times New Roman"/>
                <w:color w:val="auto"/>
                <w:sz w:val="22"/>
              </w:rPr>
              <w:t>4.</w:t>
            </w:r>
            <w:r>
              <w:rPr>
                <w:rFonts w:hint="eastAsia" w:ascii="Times New Roman" w:hAnsi="Times New Roman" w:eastAsia="宋体" w:cs="Times New Roman"/>
                <w:color w:val="auto"/>
                <w:sz w:val="22"/>
              </w:rPr>
              <w:t>超过截止时间送达的；</w:t>
            </w:r>
          </w:p>
          <w:p w14:paraId="7398DE21">
            <w:pPr>
              <w:rPr>
                <w:rFonts w:ascii="Times New Roman" w:hAnsi="Times New Roman" w:eastAsia="宋体" w:cs="Times New Roman"/>
                <w:color w:val="auto"/>
                <w:sz w:val="22"/>
              </w:rPr>
            </w:pPr>
            <w:r>
              <w:rPr>
                <w:rFonts w:hint="eastAsia" w:ascii="Times New Roman" w:hAnsi="Times New Roman" w:eastAsia="宋体" w:cs="Times New Roman"/>
                <w:color w:val="auto"/>
                <w:sz w:val="22"/>
              </w:rPr>
              <w:t>仅提供备份投标文件的，投标无效。</w:t>
            </w:r>
          </w:p>
          <w:p w14:paraId="0A4DD5D0">
            <w:pPr>
              <w:rPr>
                <w:rFonts w:ascii="Times New Roman" w:hAnsi="Times New Roman" w:eastAsia="宋体" w:cs="Times New Roman"/>
                <w:color w:val="auto"/>
                <w:sz w:val="22"/>
              </w:rPr>
            </w:pPr>
            <w:r>
              <w:rPr>
                <w:rFonts w:hint="eastAsia" w:ascii="Times New Roman" w:hAnsi="Times New Roman" w:eastAsia="宋体" w:cs="Times New Roman"/>
                <w:color w:val="auto"/>
                <w:sz w:val="22"/>
              </w:rPr>
              <w:t>投标人可以不提供备份投标文件，造成项目开评标活动无法进行下去的，投标无效，相关风险由投标人自行承担。</w:t>
            </w:r>
          </w:p>
        </w:tc>
      </w:tr>
      <w:tr w14:paraId="160B7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5D3D12E7">
            <w:pPr>
              <w:snapToGrid w:val="0"/>
              <w:jc w:val="center"/>
              <w:rPr>
                <w:rFonts w:ascii="Times New Roman" w:hAnsi="Times New Roman" w:eastAsia="宋体" w:cs="Times New Roman"/>
                <w:b/>
                <w:color w:val="auto"/>
              </w:rPr>
            </w:pPr>
            <w:r>
              <w:rPr>
                <w:rFonts w:ascii="Times New Roman" w:hAnsi="Times New Roman" w:eastAsia="宋体" w:cs="Times New Roman"/>
                <w:b/>
                <w:color w:val="auto"/>
              </w:rPr>
              <w:t>1</w:t>
            </w:r>
            <w:r>
              <w:rPr>
                <w:rFonts w:hint="eastAsia" w:ascii="Times New Roman" w:hAnsi="Times New Roman" w:eastAsia="宋体" w:cs="Times New Roman"/>
                <w:b/>
                <w:color w:val="auto"/>
              </w:rPr>
              <w:t>7</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F209D34">
            <w:pPr>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投标人注册</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9568181">
            <w:pPr>
              <w:spacing w:before="24" w:beforeLines="10"/>
              <w:jc w:val="left"/>
              <w:rPr>
                <w:rFonts w:ascii="Times New Roman" w:hAnsi="Times New Roman" w:eastAsia="宋体" w:cs="Times New Roman"/>
                <w:bCs/>
                <w:snapToGrid w:val="0"/>
                <w:color w:val="auto"/>
                <w:kern w:val="0"/>
              </w:rPr>
            </w:pPr>
            <w:r>
              <w:rPr>
                <w:rFonts w:hint="eastAsia" w:ascii="Times New Roman" w:hAnsi="Times New Roman" w:eastAsia="宋体" w:cs="Times New Roman"/>
                <w:bCs/>
                <w:snapToGrid w:val="0"/>
                <w:color w:val="auto"/>
                <w:kern w:val="0"/>
              </w:rPr>
              <w:t>各投标人须在投标截止时间前根据浙江省财政厅《关于开展政府采购投标人网上注册登记和诚信管理工作的通知》（浙财采监【</w:t>
            </w:r>
            <w:r>
              <w:rPr>
                <w:rFonts w:ascii="Times New Roman" w:hAnsi="Times New Roman" w:eastAsia="宋体" w:cs="Times New Roman"/>
                <w:bCs/>
                <w:snapToGrid w:val="0"/>
                <w:color w:val="auto"/>
                <w:kern w:val="0"/>
              </w:rPr>
              <w:t>2010</w:t>
            </w:r>
            <w:r>
              <w:rPr>
                <w:rFonts w:hint="eastAsia" w:ascii="Times New Roman" w:hAnsi="Times New Roman" w:eastAsia="宋体" w:cs="Times New Roman"/>
                <w:bCs/>
                <w:snapToGrid w:val="0"/>
                <w:color w:val="auto"/>
                <w:kern w:val="0"/>
              </w:rPr>
              <w:t>】</w:t>
            </w:r>
            <w:r>
              <w:rPr>
                <w:rFonts w:ascii="Times New Roman" w:hAnsi="Times New Roman" w:eastAsia="宋体" w:cs="Times New Roman"/>
                <w:bCs/>
                <w:snapToGrid w:val="0"/>
                <w:color w:val="auto"/>
                <w:kern w:val="0"/>
              </w:rPr>
              <w:t>8</w:t>
            </w:r>
            <w:r>
              <w:rPr>
                <w:rFonts w:hint="eastAsia" w:ascii="Times New Roman" w:hAnsi="Times New Roman" w:eastAsia="宋体" w:cs="Times New Roman"/>
                <w:bCs/>
                <w:snapToGrid w:val="0"/>
                <w:color w:val="auto"/>
                <w:kern w:val="0"/>
              </w:rPr>
              <w:t>号文）的要求，通过浙江政府采购网申请注册加入政府采购投标人库。以免影响享受相关政策优惠及成交后的款项支付。</w:t>
            </w:r>
          </w:p>
          <w:p w14:paraId="13D088EF">
            <w:pPr>
              <w:spacing w:before="24" w:beforeLines="10"/>
              <w:jc w:val="left"/>
              <w:rPr>
                <w:rFonts w:ascii="Times New Roman" w:hAnsi="Times New Roman" w:eastAsia="宋体" w:cs="Times New Roman"/>
                <w:color w:val="auto"/>
                <w:szCs w:val="21"/>
              </w:rPr>
            </w:pPr>
            <w:r>
              <w:rPr>
                <w:rFonts w:hint="eastAsia" w:ascii="Times New Roman" w:hAnsi="Times New Roman" w:eastAsia="宋体" w:cs="Times New Roman"/>
                <w:bCs/>
                <w:snapToGrid w:val="0"/>
                <w:color w:val="auto"/>
                <w:kern w:val="0"/>
              </w:rPr>
              <w:t>投标人在申请注册前，请认真阅读，学习《中华人民共和国政府采购法》和《浙江省政府采购投标人注册及诚信管理暂行办法》等相关法规规定。</w:t>
            </w:r>
          </w:p>
        </w:tc>
      </w:tr>
      <w:tr w14:paraId="35128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8"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06959225">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w:t>
            </w:r>
            <w:r>
              <w:rPr>
                <w:rFonts w:hint="eastAsia" w:ascii="Times New Roman" w:hAnsi="Times New Roman" w:eastAsia="宋体" w:cs="Times New Roman"/>
                <w:b/>
                <w:color w:val="auto"/>
              </w:rPr>
              <w:t>8</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60DAFBAA">
            <w:pPr>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不良信用记录查询</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DBF0F1E">
            <w:pPr>
              <w:rPr>
                <w:rFonts w:ascii="Times New Roman" w:hAnsi="Times New Roman" w:eastAsia="宋体" w:cs="Times New Roman"/>
                <w:color w:val="auto"/>
                <w:szCs w:val="21"/>
              </w:rPr>
            </w:pPr>
            <w:r>
              <w:rPr>
                <w:rFonts w:hint="eastAsia" w:ascii="Times New Roman" w:hAnsi="Times New Roman" w:eastAsia="宋体" w:cs="Times New Roman"/>
                <w:color w:val="auto"/>
                <w:szCs w:val="21"/>
              </w:rPr>
              <w:t>根据财库</w:t>
            </w:r>
            <w:r>
              <w:rPr>
                <w:rFonts w:ascii="Times New Roman" w:hAnsi="Times New Roman" w:eastAsia="宋体" w:cs="Times New Roman"/>
                <w:color w:val="auto"/>
                <w:szCs w:val="21"/>
              </w:rPr>
              <w:t>[2016]125</w:t>
            </w:r>
            <w:r>
              <w:rPr>
                <w:rFonts w:hint="eastAsia" w:ascii="Times New Roman" w:hAnsi="Times New Roman" w:eastAsia="宋体" w:cs="Times New Roman"/>
                <w:color w:val="auto"/>
                <w:szCs w:val="21"/>
              </w:rPr>
              <w:t>号文件：</w:t>
            </w:r>
          </w:p>
          <w:p w14:paraId="4A336DA9">
            <w:pPr>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至本项目投标截止前未被列入</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信用中国</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网站</w:t>
            </w:r>
            <w:r>
              <w:rPr>
                <w:rFonts w:ascii="Times New Roman" w:hAnsi="Times New Roman" w:eastAsia="宋体" w:cs="Times New Roman"/>
                <w:color w:val="auto"/>
                <w:szCs w:val="21"/>
              </w:rPr>
              <w:t>(www.creditchina.gov.cn)“</w:t>
            </w:r>
            <w:r>
              <w:rPr>
                <w:rFonts w:hint="eastAsia" w:ascii="Times New Roman" w:hAnsi="Times New Roman" w:eastAsia="宋体" w:cs="Times New Roman"/>
                <w:color w:val="auto"/>
                <w:szCs w:val="21"/>
              </w:rPr>
              <w:t>记录失信被执行人或重大税收违法案件当事人名单</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记录名单。</w:t>
            </w:r>
          </w:p>
          <w:p w14:paraId="4847EE53">
            <w:pPr>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至本项目投标截止前不处于中国政府采购网</w:t>
            </w:r>
            <w:r>
              <w:rPr>
                <w:rFonts w:ascii="Times New Roman" w:hAnsi="Times New Roman" w:eastAsia="宋体" w:cs="Times New Roman"/>
                <w:color w:val="auto"/>
                <w:szCs w:val="21"/>
              </w:rPr>
              <w:t>(www.ccgp.gov.cn)“</w:t>
            </w:r>
            <w:r>
              <w:rPr>
                <w:rFonts w:hint="eastAsia" w:ascii="Times New Roman" w:hAnsi="Times New Roman" w:eastAsia="宋体" w:cs="Times New Roman"/>
                <w:color w:val="auto"/>
                <w:szCs w:val="21"/>
              </w:rPr>
              <w:t>政府采购严重违法失信行为信息记录</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中的禁止参加政府采购活动期间。</w:t>
            </w:r>
          </w:p>
          <w:p w14:paraId="3DC51902">
            <w:pPr>
              <w:rPr>
                <w:rFonts w:ascii="Times New Roman" w:hAnsi="Times New Roman" w:eastAsia="宋体" w:cs="Times New Roman"/>
                <w:color w:val="auto"/>
              </w:rPr>
            </w:pPr>
            <w:r>
              <w:rPr>
                <w:rFonts w:hint="eastAsia" w:ascii="Times New Roman" w:hAnsi="Times New Roman" w:eastAsia="宋体" w:cs="Times New Roman"/>
                <w:color w:val="auto"/>
                <w:szCs w:val="21"/>
              </w:rPr>
              <w:t>提供</w:t>
            </w:r>
            <w:r>
              <w:rPr>
                <w:rFonts w:hint="eastAsia" w:ascii="Times New Roman" w:hAnsi="Times New Roman" w:eastAsia="宋体" w:cs="Times New Roman"/>
                <w:b/>
                <w:color w:val="auto"/>
              </w:rPr>
              <w:t>查询截图，（截图查询网站时间须在开标截止前二个星期内）。</w:t>
            </w:r>
            <w:r>
              <w:rPr>
                <w:rFonts w:hint="eastAsia" w:ascii="Times New Roman" w:hAnsi="Times New Roman" w:eastAsia="宋体" w:cs="Times New Roman"/>
                <w:color w:val="auto"/>
                <w:szCs w:val="21"/>
              </w:rPr>
              <w:t>对列入失信被执行人、重大税收违法案件当事人名单、政府采购严重违法失信行为记录名单的供应商，</w:t>
            </w:r>
            <w:r>
              <w:rPr>
                <w:rFonts w:hint="eastAsia" w:ascii="Times New Roman" w:hAnsi="Times New Roman" w:eastAsia="宋体" w:cs="Times New Roman"/>
                <w:b/>
                <w:color w:val="auto"/>
                <w:szCs w:val="21"/>
              </w:rPr>
              <w:t>其投标将作无效标处理</w:t>
            </w:r>
            <w:r>
              <w:rPr>
                <w:rFonts w:hint="eastAsia" w:ascii="Times New Roman" w:hAnsi="Times New Roman" w:eastAsia="宋体" w:cs="Times New Roman"/>
                <w:color w:val="auto"/>
                <w:szCs w:val="21"/>
              </w:rPr>
              <w:t>。</w:t>
            </w:r>
          </w:p>
        </w:tc>
      </w:tr>
      <w:tr w14:paraId="2304E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blCellSpacing w:w="7" w:type="dxa"/>
          <w:jc w:val="center"/>
        </w:trPr>
        <w:tc>
          <w:tcPr>
            <w:tcW w:w="48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1D039022">
            <w:pPr>
              <w:snapToGrid w:val="0"/>
              <w:spacing w:line="240" w:lineRule="exact"/>
              <w:jc w:val="center"/>
              <w:rPr>
                <w:rFonts w:ascii="Times New Roman" w:hAnsi="Times New Roman" w:eastAsia="宋体" w:cs="Times New Roman"/>
                <w:b/>
                <w:color w:val="auto"/>
              </w:rPr>
            </w:pPr>
            <w:r>
              <w:rPr>
                <w:rFonts w:ascii="Times New Roman" w:hAnsi="Times New Roman" w:eastAsia="宋体" w:cs="Times New Roman"/>
                <w:b/>
                <w:color w:val="auto"/>
              </w:rPr>
              <w:t>1</w:t>
            </w:r>
            <w:r>
              <w:rPr>
                <w:rFonts w:hint="eastAsia" w:ascii="Times New Roman" w:hAnsi="Times New Roman" w:eastAsia="宋体" w:cs="Times New Roman"/>
                <w:b/>
                <w:color w:val="auto"/>
              </w:rPr>
              <w:t>9</w:t>
            </w:r>
          </w:p>
        </w:tc>
        <w:tc>
          <w:tcPr>
            <w:tcW w:w="1164"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74DE52B3">
            <w:pPr>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中小企业有关政策</w:t>
            </w:r>
          </w:p>
        </w:tc>
        <w:tc>
          <w:tcPr>
            <w:tcW w:w="8309"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14:paraId="363B89D0">
            <w:pPr>
              <w:snapToGrid w:val="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1）根据财政部财库〔2022〕19号《关于进一步加大政府采购支持中小企业力度的通知》等相关文件规定，对小型和微型企业的价格给予10%的扣除。对于联合协议或者分包意向协议约定小微企业的合同份额占到合同总金额40%以上的，给予4%的扣除。属于小型和微型企业的，投标文件中投标人必须提供《中小企业声明函》。本项目不专门面向中小企业，预留采购项目预算总额的40%以上专门面向中小企业采购，其中预留给小微企业的比例不低于70%。本项目对应的中小企业划分标准所属行业：工业。(中小企业划型标准:《工信部联企业[2011]300号》)</w:t>
            </w:r>
          </w:p>
          <w:p w14:paraId="671CE33D">
            <w:pPr>
              <w:snapToGrid w:val="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未提供完整证明材料的，投标报价不予扣减。</w:t>
            </w:r>
          </w:p>
          <w:p w14:paraId="5E4BAD14">
            <w:pPr>
              <w:snapToGrid w:val="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（2）根据《关于政府采购支持监狱企业发展有关问题的通知》（财库[2014]68号）的规定，供应商如为监狱企业且所投产品为小型或微型企业生产的，其投标报价扣除10%后参与评审。</w:t>
            </w:r>
          </w:p>
          <w:p w14:paraId="581FE9E1">
            <w:pPr>
              <w:snapToGrid w:val="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投标文件中须同时提供：供应商的省级以上监狱管理局、戒毒管理局（含新疆生产建设兵团）出具的属于监狱企业的证明文件，投标产品制造商的小微企业证明，未提供完整证明材料的，投标报价不予扣减。</w:t>
            </w:r>
          </w:p>
          <w:p w14:paraId="3D625B94">
            <w:pPr>
              <w:snapToGrid w:val="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3）根据《财政部、民政部、中国残疾人联合会关于促进残疾人就业政府采购政策的通知》（财库〔2017〕141号）的规定，残疾人福利性单位视同小型、微型企业，享受预留份额、评审中价格扣除等促进中小企业发展的政府采购政策。</w:t>
            </w:r>
          </w:p>
          <w:p w14:paraId="293BA47F">
            <w:pPr>
              <w:snapToGrid w:val="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投标文件中须提供：《残疾人福利性单位声明函》，未提供完整证明材料的，投标报价不予扣减。</w:t>
            </w:r>
          </w:p>
          <w:p w14:paraId="11B538C5">
            <w:pPr>
              <w:snapToGrid w:val="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上述1，2，3政策不重复计算。</w:t>
            </w:r>
          </w:p>
          <w:p w14:paraId="25D42196">
            <w:pPr>
              <w:snapToGrid w:val="0"/>
              <w:rPr>
                <w:rFonts w:ascii="Times New Roman" w:hAnsi="Times New Roman" w:eastAsia="宋体" w:cs="Times New Roman"/>
                <w:color w:val="auto"/>
                <w:szCs w:val="21"/>
              </w:rPr>
            </w:pPr>
            <w:r>
              <w:rPr>
                <w:rFonts w:hint="eastAsia" w:ascii="Times New Roman" w:hAnsi="Times New Roman" w:eastAsia="宋体" w:cs="Times New Roman"/>
                <w:color w:val="auto"/>
                <w:szCs w:val="21"/>
              </w:rPr>
              <w:t>此项由评标委员会集体核实后统一打分。</w:t>
            </w:r>
          </w:p>
        </w:tc>
      </w:tr>
    </w:tbl>
    <w:p w14:paraId="1ED4B343">
      <w:pPr>
        <w:snapToGrid w:val="0"/>
        <w:spacing w:before="120" w:line="312" w:lineRule="auto"/>
        <w:jc w:val="both"/>
        <w:rPr>
          <w:rFonts w:hint="eastAsia" w:ascii="Times New Roman" w:hAnsi="Times New Roman" w:eastAsia="宋体" w:cs="Times New Roman"/>
          <w:b/>
          <w:color w:val="auto"/>
          <w:sz w:val="28"/>
        </w:rPr>
      </w:pPr>
    </w:p>
    <w:p w14:paraId="57A82F47">
      <w:pPr>
        <w:snapToGrid w:val="0"/>
        <w:spacing w:before="120" w:line="312" w:lineRule="auto"/>
        <w:jc w:val="center"/>
        <w:rPr>
          <w:rFonts w:ascii="Times New Roman" w:hAnsi="Times New Roman" w:eastAsia="宋体" w:cs="Times New Roman"/>
          <w:b/>
          <w:color w:val="auto"/>
        </w:rPr>
      </w:pPr>
      <w:r>
        <w:rPr>
          <w:rFonts w:hint="eastAsia" w:ascii="Times New Roman" w:hAnsi="Times New Roman" w:eastAsia="宋体" w:cs="Times New Roman"/>
          <w:b/>
          <w:color w:val="auto"/>
          <w:sz w:val="28"/>
        </w:rPr>
        <w:t>一、总  则</w:t>
      </w:r>
    </w:p>
    <w:p w14:paraId="35A46F3A">
      <w:pPr>
        <w:snapToGrid w:val="0"/>
        <w:spacing w:before="120" w:line="360" w:lineRule="auto"/>
        <w:ind w:right="55" w:rightChars="26"/>
        <w:rPr>
          <w:rFonts w:ascii="Times New Roman" w:hAnsi="Times New Roman" w:eastAsia="宋体" w:cs="Times New Roman"/>
          <w:b/>
          <w:color w:val="auto"/>
          <w:sz w:val="28"/>
        </w:rPr>
      </w:pPr>
      <w:r>
        <w:rPr>
          <w:rFonts w:hint="eastAsia" w:ascii="Times New Roman" w:hAnsi="Times New Roman" w:eastAsia="宋体" w:cs="Times New Roman"/>
          <w:b/>
          <w:color w:val="auto"/>
        </w:rPr>
        <w:t>（一）适用范围</w:t>
      </w:r>
    </w:p>
    <w:p w14:paraId="638FA7A4">
      <w:pPr>
        <w:snapToGrid w:val="0"/>
        <w:spacing w:line="360" w:lineRule="auto"/>
        <w:ind w:right="55" w:rightChars="26"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本招标文件适用于</w:t>
      </w:r>
      <w:r>
        <w:rPr>
          <w:rFonts w:hint="eastAsia" w:ascii="Times New Roman" w:hAnsi="Times New Roman" w:eastAsia="宋体" w:cs="Times New Roman"/>
          <w:bCs/>
          <w:color w:val="auto"/>
          <w:lang w:eastAsia="zh-CN"/>
        </w:rPr>
        <w:t>2025年舟山市生态环境监测能力建设项目</w:t>
      </w:r>
      <w:r>
        <w:rPr>
          <w:rFonts w:hint="eastAsia" w:ascii="Times New Roman" w:hAnsi="Times New Roman" w:eastAsia="宋体" w:cs="Times New Roman"/>
          <w:color w:val="auto"/>
        </w:rPr>
        <w:t>的招标、投标、评标、定标、验收、合同履约、付款等行为（法律、法规另有规定的，从其规定）。</w:t>
      </w:r>
    </w:p>
    <w:p w14:paraId="52795C67">
      <w:pPr>
        <w:snapToGrid w:val="0"/>
        <w:spacing w:line="360" w:lineRule="auto"/>
        <w:ind w:right="55" w:rightChars="26"/>
        <w:jc w:val="left"/>
        <w:outlineLvl w:val="1"/>
        <w:rPr>
          <w:rFonts w:ascii="Times New Roman" w:hAnsi="Times New Roman" w:eastAsia="宋体" w:cs="Times New Roman"/>
          <w:b/>
          <w:color w:val="auto"/>
          <w:sz w:val="24"/>
        </w:rPr>
      </w:pPr>
      <w:r>
        <w:rPr>
          <w:rFonts w:hint="eastAsia" w:ascii="Times New Roman" w:hAnsi="Times New Roman" w:eastAsia="宋体" w:cs="Times New Roman"/>
          <w:b/>
          <w:color w:val="auto"/>
          <w:sz w:val="24"/>
        </w:rPr>
        <w:t>（二）定义</w:t>
      </w:r>
    </w:p>
    <w:p w14:paraId="2C329445">
      <w:pPr>
        <w:snapToGrid w:val="0"/>
        <w:spacing w:line="360" w:lineRule="auto"/>
        <w:ind w:right="55" w:rightChars="26"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“采购人”系指</w:t>
      </w:r>
      <w:r>
        <w:rPr>
          <w:rFonts w:hint="eastAsia" w:ascii="Times New Roman" w:hAnsi="Times New Roman" w:eastAsia="宋体" w:cs="Times New Roman"/>
          <w:bCs/>
          <w:color w:val="auto"/>
        </w:rPr>
        <w:t>舟山市生态环境局</w:t>
      </w:r>
      <w:r>
        <w:rPr>
          <w:rFonts w:hint="eastAsia" w:ascii="Times New Roman" w:hAnsi="Times New Roman" w:eastAsia="宋体" w:cs="Times New Roman"/>
          <w:color w:val="auto"/>
        </w:rPr>
        <w:t>。</w:t>
      </w:r>
    </w:p>
    <w:p w14:paraId="73EFCBD8">
      <w:pPr>
        <w:spacing w:after="120"/>
        <w:ind w:firstLine="420" w:firstLineChars="200"/>
        <w:rPr>
          <w:rFonts w:ascii="Times New Roman" w:hAnsi="Calibri" w:eastAsia="宋体" w:cs="Times New Roman"/>
          <w:color w:val="auto"/>
          <w:kern w:val="0"/>
        </w:rPr>
      </w:pPr>
      <w:r>
        <w:rPr>
          <w:rFonts w:ascii="Times New Roman" w:hAnsi="Calibri" w:eastAsia="宋体" w:cs="Times New Roman"/>
          <w:color w:val="auto"/>
          <w:kern w:val="0"/>
        </w:rPr>
        <w:t>2.</w:t>
      </w:r>
      <w:r>
        <w:rPr>
          <w:rFonts w:hint="eastAsia" w:ascii="Times New Roman" w:hAnsi="Calibri" w:eastAsia="宋体" w:cs="Times New Roman"/>
          <w:color w:val="auto"/>
          <w:kern w:val="0"/>
        </w:rPr>
        <w:t>“采购代理机构”系指组织本次招标的深圳市国信招标有限公司。</w:t>
      </w:r>
    </w:p>
    <w:p w14:paraId="48CFEB4D">
      <w:pPr>
        <w:snapToGrid w:val="0"/>
        <w:spacing w:line="360" w:lineRule="auto"/>
        <w:ind w:right="55" w:rightChars="26"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3.</w:t>
      </w:r>
      <w:r>
        <w:rPr>
          <w:rFonts w:hint="eastAsia" w:ascii="Times New Roman" w:hAnsi="Times New Roman" w:eastAsia="宋体" w:cs="Times New Roman"/>
          <w:color w:val="auto"/>
        </w:rPr>
        <w:t>“投标人”系指向采购人提交投标文件的单位或个人。</w:t>
      </w:r>
    </w:p>
    <w:p w14:paraId="00AB23C9">
      <w:pPr>
        <w:snapToGrid w:val="0"/>
        <w:spacing w:line="360" w:lineRule="auto"/>
        <w:ind w:right="-506" w:rightChars="-2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4.</w:t>
      </w:r>
      <w:r>
        <w:rPr>
          <w:rFonts w:hint="eastAsia" w:ascii="Times New Roman" w:hAnsi="Times New Roman" w:eastAsia="宋体" w:cs="Times New Roman"/>
          <w:color w:val="auto"/>
        </w:rPr>
        <w:t>“产品”系指投标人按招标文件规定，须向采购人提供的一切设备、保险、税金、备品备件、工具、手册及其它有关技术资料和材料。</w:t>
      </w:r>
    </w:p>
    <w:p w14:paraId="437B57BD">
      <w:pPr>
        <w:snapToGrid w:val="0"/>
        <w:spacing w:line="360" w:lineRule="auto"/>
        <w:ind w:right="-506" w:rightChars="-2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5.</w:t>
      </w:r>
      <w:r>
        <w:rPr>
          <w:rFonts w:hint="eastAsia" w:ascii="Times New Roman" w:hAnsi="Times New Roman" w:eastAsia="宋体" w:cs="Times New Roman"/>
          <w:color w:val="auto"/>
        </w:rPr>
        <w:t>“服务”系指招标文件规定投标人须承担的安装、调试、技术协助、校准、培训、技术指导以及其他类似的义务。</w:t>
      </w:r>
    </w:p>
    <w:p w14:paraId="27685F98">
      <w:pPr>
        <w:snapToGrid w:val="0"/>
        <w:spacing w:line="360" w:lineRule="auto"/>
        <w:ind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6.</w:t>
      </w:r>
      <w:r>
        <w:rPr>
          <w:rFonts w:hint="eastAsia" w:ascii="Times New Roman" w:hAnsi="Times New Roman" w:eastAsia="宋体" w:cs="Times New Roman"/>
          <w:color w:val="auto"/>
        </w:rPr>
        <w:t>“项目”系指投标人按招标文件规定向采购人提供的产品和服务。</w:t>
      </w:r>
    </w:p>
    <w:p w14:paraId="58CB397E">
      <w:pPr>
        <w:snapToGrid w:val="0"/>
        <w:spacing w:line="360" w:lineRule="auto"/>
        <w:ind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7.</w:t>
      </w:r>
      <w:r>
        <w:rPr>
          <w:rFonts w:hint="eastAsia" w:ascii="Times New Roman" w:hAnsi="Times New Roman" w:eastAsia="宋体" w:cs="Times New Roman"/>
          <w:color w:val="auto"/>
        </w:rPr>
        <w:t>“书面形式”包括信函、传真、邮件、电子文档等。</w:t>
      </w:r>
    </w:p>
    <w:p w14:paraId="500D8494">
      <w:pPr>
        <w:snapToGrid w:val="0"/>
        <w:spacing w:line="360" w:lineRule="auto"/>
        <w:ind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8.</w:t>
      </w:r>
      <w:r>
        <w:rPr>
          <w:rFonts w:hint="eastAsia" w:ascii="Times New Roman" w:hAnsi="Times New Roman" w:eastAsia="宋体" w:cs="Times New Roman"/>
          <w:color w:val="auto"/>
        </w:rPr>
        <w:t>“★”系指实质性要求条款，未响应的作无效标处理。</w:t>
      </w:r>
    </w:p>
    <w:p w14:paraId="7226C83C">
      <w:pPr>
        <w:snapToGrid w:val="0"/>
        <w:spacing w:line="312" w:lineRule="auto"/>
        <w:jc w:val="left"/>
        <w:outlineLvl w:val="1"/>
        <w:rPr>
          <w:rFonts w:ascii="Times New Roman" w:hAnsi="Times New Roman" w:eastAsia="宋体" w:cs="Times New Roman"/>
          <w:b/>
          <w:color w:val="auto"/>
          <w:sz w:val="24"/>
        </w:rPr>
      </w:pPr>
      <w:r>
        <w:rPr>
          <w:rFonts w:hint="eastAsia" w:ascii="Times New Roman" w:hAnsi="Times New Roman" w:eastAsia="宋体" w:cs="Times New Roman"/>
          <w:b/>
          <w:color w:val="auto"/>
          <w:sz w:val="24"/>
        </w:rPr>
        <w:t>（三）招标方式</w:t>
      </w:r>
    </w:p>
    <w:p w14:paraId="2681E240">
      <w:pPr>
        <w:snapToGrid w:val="0"/>
        <w:spacing w:line="312" w:lineRule="auto"/>
        <w:ind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本次招标采用公开招标。</w:t>
      </w:r>
    </w:p>
    <w:p w14:paraId="7A380921">
      <w:pPr>
        <w:snapToGrid w:val="0"/>
        <w:spacing w:line="312" w:lineRule="auto"/>
        <w:ind w:right="55" w:rightChars="26"/>
        <w:jc w:val="left"/>
        <w:outlineLvl w:val="1"/>
        <w:rPr>
          <w:rFonts w:ascii="Times New Roman" w:hAnsi="Times New Roman" w:eastAsia="宋体" w:cs="Times New Roman"/>
          <w:b/>
          <w:color w:val="auto"/>
          <w:sz w:val="24"/>
        </w:rPr>
      </w:pPr>
      <w:r>
        <w:rPr>
          <w:rFonts w:hint="eastAsia" w:ascii="Times New Roman" w:hAnsi="Times New Roman" w:eastAsia="宋体" w:cs="Times New Roman"/>
          <w:b/>
          <w:color w:val="auto"/>
          <w:sz w:val="24"/>
        </w:rPr>
        <w:t>（四）投标费用</w:t>
      </w:r>
    </w:p>
    <w:p w14:paraId="34551A83">
      <w:pPr>
        <w:snapToGrid w:val="0"/>
        <w:spacing w:line="312" w:lineRule="auto"/>
        <w:ind w:right="55" w:rightChars="26"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不论投标结果如何，投标人均应自行承担所有与投标有关的全部费用（招标文件另有规定除外）。</w:t>
      </w:r>
    </w:p>
    <w:p w14:paraId="5A983066">
      <w:pPr>
        <w:snapToGrid w:val="0"/>
        <w:spacing w:line="360" w:lineRule="auto"/>
        <w:ind w:right="55" w:rightChars="26"/>
        <w:rPr>
          <w:rFonts w:ascii="Times New Roman" w:hAnsi="Times New Roman" w:eastAsia="宋体" w:cs="Times New Roman"/>
          <w:b/>
          <w:color w:val="auto"/>
          <w:sz w:val="24"/>
        </w:rPr>
      </w:pPr>
      <w:r>
        <w:rPr>
          <w:rFonts w:hint="eastAsia" w:ascii="Times New Roman" w:hAnsi="Times New Roman" w:eastAsia="宋体" w:cs="Times New Roman"/>
          <w:b/>
          <w:color w:val="auto"/>
          <w:sz w:val="24"/>
        </w:rPr>
        <w:t>（五）关于联合体</w:t>
      </w:r>
    </w:p>
    <w:p w14:paraId="2E3F79C9">
      <w:pPr>
        <w:snapToGrid w:val="0"/>
        <w:spacing w:line="360" w:lineRule="auto"/>
        <w:ind w:right="55" w:rightChars="26" w:firstLine="420" w:firstLineChars="200"/>
        <w:rPr>
          <w:rFonts w:ascii="Times New Roman" w:hAnsi="Times New Roman" w:eastAsia="宋体" w:cs="Times New Roman"/>
          <w:bCs/>
          <w:color w:val="auto"/>
          <w:szCs w:val="21"/>
        </w:rPr>
      </w:pPr>
      <w:r>
        <w:rPr>
          <w:rFonts w:ascii="Times New Roman" w:hAnsi="Times New Roman" w:eastAsia="宋体" w:cs="Times New Roman"/>
          <w:bCs/>
          <w:color w:val="auto"/>
          <w:szCs w:val="21"/>
        </w:rPr>
        <w:t>本项目不接受联合体投标</w:t>
      </w:r>
    </w:p>
    <w:p w14:paraId="7CBB422C">
      <w:pPr>
        <w:snapToGrid w:val="0"/>
        <w:spacing w:line="360" w:lineRule="auto"/>
        <w:ind w:right="55" w:rightChars="26"/>
        <w:rPr>
          <w:rFonts w:ascii="Times New Roman" w:hAnsi="Times New Roman" w:eastAsia="宋体" w:cs="Times New Roman"/>
          <w:b/>
          <w:color w:val="auto"/>
          <w:sz w:val="24"/>
        </w:rPr>
      </w:pPr>
      <w:r>
        <w:rPr>
          <w:rFonts w:hint="eastAsia" w:ascii="Times New Roman" w:hAnsi="Times New Roman" w:eastAsia="宋体" w:cs="Times New Roman"/>
          <w:b/>
          <w:color w:val="auto"/>
          <w:sz w:val="24"/>
        </w:rPr>
        <w:t>（六）关于分包、转包</w:t>
      </w:r>
    </w:p>
    <w:p w14:paraId="69130092">
      <w:pPr>
        <w:snapToGrid w:val="0"/>
        <w:spacing w:line="360" w:lineRule="auto"/>
        <w:ind w:right="55" w:rightChars="26"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本项目不允许分包；</w:t>
      </w:r>
    </w:p>
    <w:p w14:paraId="23B9C569">
      <w:pPr>
        <w:spacing w:line="360" w:lineRule="auto"/>
        <w:ind w:firstLine="420" w:firstLineChars="200"/>
        <w:rPr>
          <w:rFonts w:ascii="Times New Roman" w:hAnsi="Times New Roman" w:eastAsia="宋体" w:cs="Times New Roman"/>
          <w:color w:val="auto"/>
          <w:szCs w:val="24"/>
        </w:rPr>
      </w:pPr>
      <w:r>
        <w:rPr>
          <w:rFonts w:hint="eastAsia" w:ascii="Times New Roman" w:hAnsi="Times New Roman" w:eastAsia="宋体" w:cs="Times New Roman"/>
          <w:color w:val="auto"/>
          <w:szCs w:val="24"/>
        </w:rPr>
        <w:t>本项目不允许转包。</w:t>
      </w:r>
    </w:p>
    <w:p w14:paraId="65E301C3">
      <w:pPr>
        <w:snapToGrid w:val="0"/>
        <w:spacing w:line="360" w:lineRule="auto"/>
        <w:ind w:right="55" w:rightChars="26"/>
        <w:rPr>
          <w:rFonts w:ascii="Times New Roman" w:hAnsi="Times New Roman" w:eastAsia="宋体" w:cs="Times New Roman"/>
          <w:b/>
          <w:color w:val="auto"/>
          <w:spacing w:val="-4"/>
          <w:kern w:val="0"/>
          <w:sz w:val="24"/>
          <w:szCs w:val="24"/>
        </w:rPr>
      </w:pPr>
      <w:r>
        <w:rPr>
          <w:rFonts w:hint="eastAsia" w:ascii="Times New Roman" w:hAnsi="Times New Roman" w:eastAsia="宋体" w:cs="Times New Roman"/>
          <w:b/>
          <w:color w:val="auto"/>
          <w:spacing w:val="-4"/>
          <w:kern w:val="0"/>
          <w:sz w:val="24"/>
          <w:szCs w:val="24"/>
        </w:rPr>
        <w:t>（七）特别说明：</w:t>
      </w:r>
    </w:p>
    <w:p w14:paraId="1EDBFDBE">
      <w:pPr>
        <w:snapToGrid w:val="0"/>
        <w:spacing w:line="360" w:lineRule="auto"/>
        <w:ind w:right="-86" w:rightChars="-41" w:firstLine="406" w:firstLineChars="200"/>
        <w:rPr>
          <w:rFonts w:ascii="Times New Roman" w:hAnsi="Times New Roman" w:eastAsia="宋体" w:cs="Times New Roman"/>
          <w:b/>
          <w:bCs/>
          <w:color w:val="auto"/>
          <w:spacing w:val="-4"/>
          <w:kern w:val="0"/>
        </w:rPr>
      </w:pPr>
      <w:r>
        <w:rPr>
          <w:rFonts w:ascii="Times New Roman" w:hAnsi="Times New Roman" w:eastAsia="宋体" w:cs="Times New Roman"/>
          <w:b/>
          <w:bCs/>
          <w:color w:val="auto"/>
          <w:spacing w:val="-4"/>
          <w:kern w:val="0"/>
        </w:rPr>
        <w:t xml:space="preserve">1. </w:t>
      </w:r>
      <w:r>
        <w:rPr>
          <w:rFonts w:hint="eastAsia" w:ascii="Times New Roman" w:hAnsi="Times New Roman" w:eastAsia="宋体" w:cs="Times New Roman"/>
          <w:b/>
          <w:bCs/>
          <w:color w:val="auto"/>
          <w:spacing w:val="-4"/>
          <w:kern w:val="0"/>
        </w:rPr>
        <w:t>提供相同品牌产品且通过资格审查、符合性审查的不同投标人参加同一合同项下投标的，按一家投标人计算，评审后得分最高的同品牌投标人获得中标人推荐资格；评审得分相同的，取报价最低一家为有效供应商；当报价相同时，则以技术标最优一家为有效供应商；均相同时，抽签决定。其他同品牌投标人不作为中标候选人。</w:t>
      </w:r>
    </w:p>
    <w:p w14:paraId="2FA4BA01">
      <w:pPr>
        <w:snapToGrid w:val="0"/>
        <w:spacing w:line="360" w:lineRule="auto"/>
        <w:ind w:right="-86" w:rightChars="-41" w:firstLine="404" w:firstLineChars="199"/>
        <w:rPr>
          <w:rFonts w:ascii="Times New Roman" w:hAnsi="Times New Roman" w:eastAsia="宋体" w:cs="Times New Roman"/>
          <w:b/>
          <w:bCs/>
          <w:color w:val="auto"/>
          <w:spacing w:val="-4"/>
          <w:kern w:val="0"/>
        </w:rPr>
      </w:pPr>
      <w:r>
        <w:rPr>
          <w:rFonts w:hint="eastAsia" w:ascii="Times New Roman" w:hAnsi="Times New Roman" w:eastAsia="宋体" w:cs="Times New Roman"/>
          <w:b/>
          <w:bCs/>
          <w:color w:val="auto"/>
          <w:spacing w:val="-4"/>
          <w:kern w:val="0"/>
        </w:rPr>
        <w:t>多家投标人提供的核心产品品牌相同的，按以上规定处理。</w:t>
      </w:r>
    </w:p>
    <w:p w14:paraId="18541B87">
      <w:pPr>
        <w:snapToGrid w:val="0"/>
        <w:spacing w:line="360" w:lineRule="auto"/>
        <w:ind w:right="-86" w:rightChars="-41" w:firstLine="401" w:firstLineChars="199"/>
        <w:rPr>
          <w:rFonts w:ascii="Times New Roman" w:hAnsi="Times New Roman" w:eastAsia="宋体" w:cs="Times New Roman"/>
          <w:bCs/>
          <w:color w:val="auto"/>
          <w:spacing w:val="-4"/>
          <w:kern w:val="0"/>
        </w:rPr>
      </w:pPr>
      <w:r>
        <w:rPr>
          <w:rFonts w:ascii="Times New Roman" w:hAnsi="Times New Roman" w:eastAsia="宋体" w:cs="Times New Roman"/>
          <w:bCs/>
          <w:color w:val="auto"/>
          <w:spacing w:val="-4"/>
          <w:kern w:val="0"/>
        </w:rPr>
        <w:t>2.</w:t>
      </w:r>
      <w:r>
        <w:rPr>
          <w:rFonts w:hint="eastAsia" w:ascii="Times New Roman" w:hAnsi="Times New Roman" w:eastAsia="宋体" w:cs="Times New Roman"/>
          <w:bCs/>
          <w:color w:val="auto"/>
          <w:spacing w:val="-4"/>
          <w:kern w:val="0"/>
        </w:rPr>
        <w:t>投标人投标所使用的资格、信誉、荣誉、业绩与企业认证必须为本法人所拥有。投标人投标所使用的采购项目实施人员必须为本法人员工。</w:t>
      </w:r>
    </w:p>
    <w:p w14:paraId="53B8C7E3">
      <w:pPr>
        <w:keepNext w:val="0"/>
        <w:keepLines w:val="0"/>
        <w:pageBreakBefore w:val="0"/>
        <w:kinsoku/>
        <w:wordWrap/>
        <w:overflowPunct/>
        <w:topLinePunct w:val="0"/>
        <w:autoSpaceDE/>
        <w:autoSpaceDN/>
        <w:bidi w:val="0"/>
        <w:adjustRightInd/>
        <w:snapToGrid w:val="0"/>
        <w:spacing w:line="360" w:lineRule="auto"/>
        <w:ind w:right="0" w:rightChars="0" w:firstLine="404" w:firstLineChars="200"/>
        <w:textAlignment w:val="auto"/>
        <w:rPr>
          <w:rFonts w:ascii="Times New Roman" w:hAnsi="Times New Roman" w:eastAsia="宋体" w:cs="Times New Roman"/>
          <w:bCs/>
          <w:color w:val="auto"/>
          <w:spacing w:val="-4"/>
          <w:kern w:val="0"/>
        </w:rPr>
      </w:pPr>
      <w:r>
        <w:rPr>
          <w:rFonts w:ascii="Times New Roman" w:hAnsi="Times New Roman" w:eastAsia="宋体" w:cs="Times New Roman"/>
          <w:bCs/>
          <w:color w:val="auto"/>
          <w:spacing w:val="-4"/>
          <w:kern w:val="0"/>
        </w:rPr>
        <w:t>3.</w:t>
      </w:r>
      <w:r>
        <w:rPr>
          <w:rFonts w:hint="eastAsia" w:ascii="Times New Roman" w:hAnsi="Times New Roman" w:eastAsia="宋体" w:cs="Times New Roman"/>
          <w:bCs/>
          <w:color w:val="auto"/>
          <w:spacing w:val="-4"/>
          <w:kern w:val="0"/>
        </w:rPr>
        <w:t>投标人应仔细阅读招标文件的所有内容，按照招标文件的要求提交投标文件，并对所提供的全部资料的真实性承担法律责任。</w:t>
      </w:r>
    </w:p>
    <w:p w14:paraId="646069A1">
      <w:pPr>
        <w:keepNext w:val="0"/>
        <w:keepLines w:val="0"/>
        <w:pageBreakBefore w:val="0"/>
        <w:kinsoku/>
        <w:wordWrap/>
        <w:overflowPunct/>
        <w:topLinePunct w:val="0"/>
        <w:autoSpaceDE/>
        <w:autoSpaceDN/>
        <w:bidi w:val="0"/>
        <w:adjustRightInd/>
        <w:snapToGrid w:val="0"/>
        <w:spacing w:line="360" w:lineRule="auto"/>
        <w:ind w:right="0" w:rightChars="0"/>
        <w:textAlignment w:val="auto"/>
        <w:outlineLvl w:val="1"/>
        <w:rPr>
          <w:rFonts w:ascii="Times New Roman" w:hAnsi="Times New Roman" w:eastAsia="宋体" w:cs="Times New Roman"/>
          <w:b/>
          <w:color w:val="auto"/>
          <w:sz w:val="24"/>
          <w:szCs w:val="24"/>
        </w:rPr>
      </w:pPr>
      <w:r>
        <w:rPr>
          <w:rFonts w:hint="eastAsia" w:ascii="Times New Roman" w:hAnsi="Times New Roman" w:eastAsia="宋体" w:cs="Times New Roman"/>
          <w:b/>
          <w:color w:val="auto"/>
          <w:sz w:val="24"/>
          <w:szCs w:val="24"/>
        </w:rPr>
        <w:t>（八）质疑</w:t>
      </w:r>
    </w:p>
    <w:p w14:paraId="535E4A2F">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投标人应当自知道或者应当知道其合法权益受到损害之日起七个工作日内提出质疑。</w:t>
      </w:r>
    </w:p>
    <w:p w14:paraId="7A871CDD">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ascii="Times New Roman" w:hAnsi="Times New Roman" w:eastAsia="宋体" w:cs="Times New Roman"/>
          <w:bCs/>
          <w:color w:val="auto"/>
          <w:szCs w:val="21"/>
        </w:rPr>
        <w:t>1.</w:t>
      </w:r>
      <w:r>
        <w:rPr>
          <w:rFonts w:hint="eastAsia" w:ascii="Times New Roman" w:hAnsi="Times New Roman" w:eastAsia="宋体" w:cs="Times New Roman"/>
          <w:bCs/>
          <w:color w:val="auto"/>
          <w:szCs w:val="21"/>
        </w:rPr>
        <w:t>对可以质疑的采购文件提出质疑的，为收到采购文件之日或者采购文件公告期限届满之日；</w:t>
      </w:r>
    </w:p>
    <w:p w14:paraId="0958F2BF">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ascii="Times New Roman" w:hAnsi="Times New Roman" w:eastAsia="宋体" w:cs="Times New Roman"/>
          <w:bCs/>
          <w:color w:val="auto"/>
          <w:szCs w:val="21"/>
        </w:rPr>
        <w:t>2.</w:t>
      </w:r>
      <w:r>
        <w:rPr>
          <w:rFonts w:hint="eastAsia" w:ascii="Times New Roman" w:hAnsi="Times New Roman" w:eastAsia="宋体" w:cs="Times New Roman"/>
          <w:bCs/>
          <w:color w:val="auto"/>
          <w:szCs w:val="21"/>
        </w:rPr>
        <w:t>对采购过程提出质疑的，为各采购程序环节结束之日；</w:t>
      </w:r>
    </w:p>
    <w:p w14:paraId="63728AA6">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ascii="Times New Roman" w:hAnsi="Times New Roman" w:eastAsia="宋体" w:cs="Times New Roman"/>
          <w:bCs/>
          <w:color w:val="auto"/>
          <w:szCs w:val="21"/>
        </w:rPr>
        <w:t>3.</w:t>
      </w:r>
      <w:r>
        <w:rPr>
          <w:rFonts w:hint="eastAsia" w:ascii="Times New Roman" w:hAnsi="Times New Roman" w:eastAsia="宋体" w:cs="Times New Roman"/>
          <w:bCs/>
          <w:color w:val="auto"/>
          <w:szCs w:val="21"/>
        </w:rPr>
        <w:t>对中标或者成交结果提出质疑的，为中标或者成交结果公告期限届满之日。</w:t>
      </w:r>
    </w:p>
    <w:p w14:paraId="023DA1BF">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ascii="Times New Roman" w:hAnsi="Times New Roman" w:eastAsia="宋体" w:cs="Times New Roman"/>
          <w:bCs/>
          <w:color w:val="auto"/>
          <w:szCs w:val="21"/>
        </w:rPr>
        <w:t>4.</w:t>
      </w:r>
      <w:r>
        <w:rPr>
          <w:rFonts w:hint="eastAsia" w:ascii="Times New Roman" w:hAnsi="Times New Roman" w:eastAsia="宋体" w:cs="Times New Roman"/>
          <w:bCs/>
          <w:color w:val="auto"/>
          <w:szCs w:val="21"/>
        </w:rPr>
        <w:t>质疑书应包括下列主要内容：</w:t>
      </w:r>
    </w:p>
    <w:p w14:paraId="0FDAA10C">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hint="eastAsia" w:ascii="宋体" w:hAnsi="宋体" w:eastAsia="宋体" w:cs="宋体"/>
          <w:bCs/>
          <w:color w:val="auto"/>
          <w:szCs w:val="21"/>
        </w:rPr>
        <w:t>①</w:t>
      </w:r>
      <w:r>
        <w:rPr>
          <w:rFonts w:hint="eastAsia" w:ascii="Times New Roman" w:hAnsi="Times New Roman" w:eastAsia="宋体" w:cs="Times New Roman"/>
          <w:bCs/>
          <w:color w:val="auto"/>
          <w:szCs w:val="21"/>
        </w:rPr>
        <w:t>质疑人的名称、地址、邮政编码、联系人、联系电话，以及被质疑人名称及联系方式；</w:t>
      </w:r>
    </w:p>
    <w:p w14:paraId="51C7AD44">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hint="eastAsia" w:ascii="宋体" w:hAnsi="宋体" w:eastAsia="宋体" w:cs="宋体"/>
          <w:bCs/>
          <w:color w:val="auto"/>
          <w:szCs w:val="21"/>
        </w:rPr>
        <w:t>②</w:t>
      </w:r>
      <w:r>
        <w:rPr>
          <w:rFonts w:hint="eastAsia" w:ascii="Times New Roman" w:hAnsi="Times New Roman" w:eastAsia="宋体" w:cs="Times New Roman"/>
          <w:bCs/>
          <w:color w:val="auto"/>
          <w:szCs w:val="21"/>
        </w:rPr>
        <w:t>被质疑采购项目名称、编号及采购内容；</w:t>
      </w:r>
    </w:p>
    <w:p w14:paraId="1A00A750">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hint="eastAsia" w:ascii="宋体" w:hAnsi="宋体" w:eastAsia="宋体" w:cs="宋体"/>
          <w:bCs/>
          <w:color w:val="auto"/>
          <w:szCs w:val="21"/>
        </w:rPr>
        <w:t>③</w:t>
      </w:r>
      <w:r>
        <w:rPr>
          <w:rFonts w:hint="eastAsia" w:ascii="Times New Roman" w:hAnsi="Times New Roman" w:eastAsia="宋体" w:cs="Times New Roman"/>
          <w:bCs/>
          <w:color w:val="auto"/>
          <w:szCs w:val="21"/>
        </w:rPr>
        <w:t>具体的质疑事项及事实依据；</w:t>
      </w:r>
    </w:p>
    <w:p w14:paraId="087127CC">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hint="eastAsia" w:ascii="宋体" w:hAnsi="宋体" w:eastAsia="宋体" w:cs="宋体"/>
          <w:bCs/>
          <w:color w:val="auto"/>
          <w:szCs w:val="21"/>
        </w:rPr>
        <w:t>④</w:t>
      </w:r>
      <w:r>
        <w:rPr>
          <w:rFonts w:hint="eastAsia" w:ascii="Times New Roman" w:hAnsi="Times New Roman" w:eastAsia="宋体" w:cs="Times New Roman"/>
          <w:bCs/>
          <w:color w:val="auto"/>
          <w:szCs w:val="21"/>
        </w:rPr>
        <w:t>认为自己合法权益受到损害或可能受到损害的相关证据材料；</w:t>
      </w:r>
    </w:p>
    <w:p w14:paraId="641C4E06">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hint="eastAsia" w:ascii="宋体" w:hAnsi="宋体" w:eastAsia="宋体" w:cs="宋体"/>
          <w:bCs/>
          <w:color w:val="auto"/>
          <w:szCs w:val="21"/>
        </w:rPr>
        <w:t>⑤</w:t>
      </w:r>
      <w:r>
        <w:rPr>
          <w:rFonts w:hint="eastAsia" w:ascii="Times New Roman" w:hAnsi="Times New Roman" w:eastAsia="宋体" w:cs="Times New Roman"/>
          <w:bCs/>
          <w:color w:val="auto"/>
          <w:szCs w:val="21"/>
        </w:rPr>
        <w:t>提出质疑的日期。</w:t>
      </w:r>
    </w:p>
    <w:p w14:paraId="65CEE983">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rPr>
        <w:t>供应商为自然人的，应当由本人签字：供应商为法人或者其他组织的，应当由法定代表人、主要负责人，或者其授权代表签字或者盖章，并加盖公章。</w:t>
      </w:r>
    </w:p>
    <w:p w14:paraId="45E2857B">
      <w:pPr>
        <w:keepNext w:val="0"/>
        <w:keepLines w:val="0"/>
        <w:pageBreakBefore w:val="0"/>
        <w:widowControl/>
        <w:kinsoku/>
        <w:wordWrap/>
        <w:overflowPunct/>
        <w:topLinePunct w:val="0"/>
        <w:autoSpaceDE/>
        <w:autoSpaceDN/>
        <w:bidi w:val="0"/>
        <w:adjustRightInd/>
        <w:snapToGrid w:val="0"/>
        <w:spacing w:line="360" w:lineRule="auto"/>
        <w:ind w:right="0" w:rightChars="0" w:firstLine="420" w:firstLineChars="200"/>
        <w:textAlignment w:val="auto"/>
        <w:outlineLvl w:val="1"/>
        <w:rPr>
          <w:rFonts w:ascii="Times New Roman" w:hAnsi="Times New Roman" w:eastAsia="宋体" w:cs="Times New Roman"/>
          <w:b/>
          <w:color w:val="auto"/>
          <w:sz w:val="28"/>
        </w:rPr>
      </w:pPr>
      <w:r>
        <w:rPr>
          <w:rFonts w:hint="eastAsia" w:ascii="Times New Roman" w:hAnsi="Times New Roman" w:eastAsia="宋体" w:cs="Times New Roman"/>
          <w:bCs/>
          <w:color w:val="auto"/>
          <w:szCs w:val="21"/>
        </w:rPr>
        <w:t>供应商在法定质疑期内一次性提出针对同一采购程序环节的质疑。</w:t>
      </w:r>
    </w:p>
    <w:p w14:paraId="62D4C060">
      <w:pPr>
        <w:snapToGrid w:val="0"/>
        <w:spacing w:before="120" w:line="312" w:lineRule="auto"/>
        <w:ind w:right="-506" w:rightChars="-241" w:firstLine="3795" w:firstLineChars="1350"/>
        <w:rPr>
          <w:rFonts w:ascii="Times New Roman" w:hAnsi="Times New Roman" w:eastAsia="宋体" w:cs="Times New Roman"/>
          <w:b/>
          <w:color w:val="auto"/>
          <w:sz w:val="28"/>
        </w:rPr>
      </w:pPr>
    </w:p>
    <w:p w14:paraId="20DBCD63">
      <w:pPr>
        <w:snapToGrid w:val="0"/>
        <w:spacing w:before="120" w:line="312" w:lineRule="auto"/>
        <w:ind w:right="-506" w:rightChars="-241" w:firstLine="3795" w:firstLineChars="1350"/>
        <w:rPr>
          <w:rFonts w:ascii="Times New Roman" w:hAnsi="Times New Roman" w:eastAsia="宋体" w:cs="Times New Roman"/>
          <w:b/>
          <w:color w:val="auto"/>
          <w:sz w:val="28"/>
        </w:rPr>
      </w:pPr>
      <w:r>
        <w:rPr>
          <w:rFonts w:hint="eastAsia" w:ascii="Times New Roman" w:hAnsi="Times New Roman" w:eastAsia="宋体" w:cs="Times New Roman"/>
          <w:b/>
          <w:color w:val="auto"/>
          <w:sz w:val="28"/>
        </w:rPr>
        <w:t>二、招标文件</w:t>
      </w:r>
    </w:p>
    <w:p w14:paraId="51BDC569">
      <w:pPr>
        <w:snapToGrid w:val="0"/>
        <w:spacing w:line="360" w:lineRule="auto"/>
        <w:ind w:right="-341"/>
        <w:jc w:val="left"/>
        <w:rPr>
          <w:rFonts w:ascii="Times New Roman" w:hAnsi="Times New Roman" w:eastAsia="宋体" w:cs="Times New Roman"/>
          <w:b/>
          <w:color w:val="auto"/>
          <w:sz w:val="24"/>
        </w:rPr>
      </w:pPr>
      <w:r>
        <w:rPr>
          <w:rFonts w:hint="eastAsia" w:ascii="Times New Roman" w:hAnsi="Times New Roman" w:eastAsia="宋体" w:cs="Times New Roman"/>
          <w:b/>
          <w:color w:val="auto"/>
          <w:sz w:val="24"/>
        </w:rPr>
        <w:t>（一）招标文件的构成。本招标文件由以下部份组成：</w:t>
      </w:r>
    </w:p>
    <w:p w14:paraId="6B3B3718">
      <w:pPr>
        <w:snapToGrid w:val="0"/>
        <w:spacing w:line="360" w:lineRule="auto"/>
        <w:ind w:right="-3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招标公告</w:t>
      </w:r>
    </w:p>
    <w:p w14:paraId="5D7CF6B0">
      <w:pPr>
        <w:snapToGrid w:val="0"/>
        <w:spacing w:line="360" w:lineRule="auto"/>
        <w:ind w:right="-3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2.</w:t>
      </w:r>
      <w:r>
        <w:rPr>
          <w:rFonts w:hint="eastAsia" w:ascii="Times New Roman" w:hAnsi="Times New Roman" w:eastAsia="宋体" w:cs="Times New Roman"/>
          <w:color w:val="auto"/>
        </w:rPr>
        <w:t>招标需求</w:t>
      </w:r>
    </w:p>
    <w:p w14:paraId="6E786021">
      <w:pPr>
        <w:snapToGrid w:val="0"/>
        <w:spacing w:line="360" w:lineRule="auto"/>
        <w:ind w:right="-3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3.</w:t>
      </w:r>
      <w:r>
        <w:rPr>
          <w:rFonts w:hint="eastAsia" w:ascii="Times New Roman" w:hAnsi="Times New Roman" w:eastAsia="宋体" w:cs="Times New Roman"/>
          <w:color w:val="auto"/>
        </w:rPr>
        <w:t>投标人须知</w:t>
      </w:r>
    </w:p>
    <w:p w14:paraId="4D720A53">
      <w:pPr>
        <w:snapToGrid w:val="0"/>
        <w:spacing w:line="360" w:lineRule="auto"/>
        <w:ind w:right="-3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4.</w:t>
      </w:r>
      <w:r>
        <w:rPr>
          <w:rFonts w:hint="eastAsia" w:ascii="Times New Roman" w:hAnsi="Times New Roman" w:eastAsia="宋体" w:cs="Times New Roman"/>
          <w:color w:val="auto"/>
          <w:lang w:eastAsia="zh-CN"/>
        </w:rPr>
        <w:t>评标方法</w:t>
      </w:r>
      <w:r>
        <w:rPr>
          <w:rFonts w:hint="eastAsia" w:ascii="Times New Roman" w:hAnsi="Times New Roman" w:eastAsia="宋体" w:cs="Times New Roman"/>
          <w:color w:val="auto"/>
        </w:rPr>
        <w:t>及标准</w:t>
      </w:r>
    </w:p>
    <w:p w14:paraId="2315F3A5">
      <w:pPr>
        <w:snapToGrid w:val="0"/>
        <w:spacing w:line="360" w:lineRule="auto"/>
        <w:ind w:right="-3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5.</w:t>
      </w:r>
      <w:r>
        <w:rPr>
          <w:rFonts w:hint="eastAsia" w:ascii="Times New Roman" w:hAnsi="Times New Roman" w:eastAsia="宋体" w:cs="Times New Roman"/>
          <w:color w:val="auto"/>
        </w:rPr>
        <w:t>合同主要条款</w:t>
      </w:r>
    </w:p>
    <w:p w14:paraId="2B5B5F06">
      <w:pPr>
        <w:snapToGrid w:val="0"/>
        <w:spacing w:line="360" w:lineRule="auto"/>
        <w:ind w:right="-3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6.</w:t>
      </w:r>
      <w:r>
        <w:rPr>
          <w:rFonts w:hint="eastAsia" w:ascii="Times New Roman" w:hAnsi="Times New Roman" w:eastAsia="宋体" w:cs="Times New Roman"/>
          <w:color w:val="auto"/>
        </w:rPr>
        <w:t>投标文件格式</w:t>
      </w:r>
    </w:p>
    <w:p w14:paraId="37EDDB2E">
      <w:pPr>
        <w:snapToGrid w:val="0"/>
        <w:spacing w:line="360" w:lineRule="auto"/>
        <w:ind w:right="-3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7.</w:t>
      </w:r>
      <w:r>
        <w:rPr>
          <w:rFonts w:hint="eastAsia" w:ascii="Times New Roman" w:hAnsi="Times New Roman" w:eastAsia="宋体" w:cs="Times New Roman"/>
          <w:color w:val="auto"/>
        </w:rPr>
        <w:t>本项目招标文件的澄清、答复、修改、补充的内容</w:t>
      </w:r>
    </w:p>
    <w:p w14:paraId="1C2098B6">
      <w:pPr>
        <w:snapToGrid w:val="0"/>
        <w:spacing w:line="360" w:lineRule="auto"/>
        <w:ind w:right="-87"/>
        <w:jc w:val="left"/>
        <w:rPr>
          <w:rFonts w:ascii="Times New Roman" w:hAnsi="Times New Roman" w:eastAsia="宋体" w:cs="Times New Roman"/>
          <w:b/>
          <w:color w:val="auto"/>
          <w:sz w:val="24"/>
        </w:rPr>
      </w:pPr>
      <w:r>
        <w:rPr>
          <w:rFonts w:hint="eastAsia" w:ascii="Times New Roman" w:hAnsi="Times New Roman" w:eastAsia="宋体" w:cs="Times New Roman"/>
          <w:b/>
          <w:color w:val="auto"/>
          <w:sz w:val="24"/>
        </w:rPr>
        <w:t>（二）投标人的风险</w:t>
      </w:r>
    </w:p>
    <w:p w14:paraId="38E2D9FB">
      <w:pPr>
        <w:spacing w:line="360" w:lineRule="auto"/>
        <w:ind w:right="-506" w:rightChars="-241" w:firstLine="420"/>
        <w:rPr>
          <w:rFonts w:ascii="Times New Roman" w:hAnsi="Times New Roman" w:eastAsia="宋体" w:cs="Times New Roman"/>
          <w:color w:val="auto"/>
        </w:rPr>
      </w:pPr>
      <w:r>
        <w:rPr>
          <w:rFonts w:hint="eastAsia" w:ascii="Times New Roman" w:hAnsi="Times New Roman" w:eastAsia="宋体" w:cs="Times New Roman"/>
          <w:color w:val="auto"/>
        </w:rPr>
        <w:t>投标人没有按照招标文件要求提供全部资料，或者投标人没有对招标文件在各方面作出实质性响应是投标人的风险，并可能导致其投标被拒绝。</w:t>
      </w:r>
    </w:p>
    <w:p w14:paraId="2D0E2C09">
      <w:pPr>
        <w:tabs>
          <w:tab w:val="left" w:pos="454"/>
          <w:tab w:val="left" w:pos="720"/>
          <w:tab w:val="left" w:pos="900"/>
        </w:tabs>
        <w:snapToGrid w:val="0"/>
        <w:spacing w:line="360" w:lineRule="auto"/>
        <w:ind w:left="247" w:right="-87" w:hanging="247" w:hangingChars="117"/>
        <w:rPr>
          <w:rFonts w:ascii="Times New Roman" w:hAnsi="Times New Roman" w:eastAsia="宋体" w:cs="Times New Roman"/>
          <w:b/>
          <w:color w:val="auto"/>
        </w:rPr>
      </w:pPr>
      <w:r>
        <w:rPr>
          <w:rFonts w:hint="eastAsia" w:ascii="Times New Roman" w:hAnsi="Times New Roman" w:eastAsia="宋体" w:cs="Times New Roman"/>
          <w:b/>
          <w:color w:val="auto"/>
        </w:rPr>
        <w:t>（三）招标文件的澄清与修改</w:t>
      </w:r>
    </w:p>
    <w:p w14:paraId="08AB8145">
      <w:pPr>
        <w:widowControl/>
        <w:snapToGrid w:val="0"/>
        <w:spacing w:before="120" w:line="360" w:lineRule="auto"/>
        <w:ind w:right="-87" w:firstLine="415" w:firstLineChars="198"/>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投标人应认真阅读本招标文件，发现其中有误或有要求不合理的，投标人必须在投标截止前</w:t>
      </w:r>
      <w:r>
        <w:rPr>
          <w:rFonts w:ascii="Times New Roman" w:hAnsi="Times New Roman" w:eastAsia="宋体" w:cs="Times New Roman"/>
          <w:color w:val="auto"/>
          <w:szCs w:val="21"/>
        </w:rPr>
        <w:t>15</w:t>
      </w:r>
      <w:r>
        <w:rPr>
          <w:rFonts w:hint="eastAsia" w:ascii="Times New Roman" w:hAnsi="Times New Roman" w:eastAsia="宋体" w:cs="Times New Roman"/>
          <w:color w:val="auto"/>
          <w:szCs w:val="21"/>
        </w:rPr>
        <w:t>天内以书面形式要求招标采购单位澄清。招标采购单位对已发出的招标文件进行必要澄清、答复、修改或补充的，应当在招标文件要求提交投标文件截止时间</w:t>
      </w:r>
      <w:r>
        <w:rPr>
          <w:rFonts w:ascii="Times New Roman" w:hAnsi="Times New Roman" w:eastAsia="宋体" w:cs="Times New Roman"/>
          <w:color w:val="auto"/>
          <w:szCs w:val="21"/>
        </w:rPr>
        <w:t>15</w:t>
      </w:r>
      <w:r>
        <w:rPr>
          <w:rFonts w:hint="eastAsia" w:ascii="Times New Roman" w:hAnsi="Times New Roman" w:eastAsia="宋体" w:cs="Times New Roman"/>
          <w:color w:val="auto"/>
          <w:szCs w:val="21"/>
        </w:rPr>
        <w:t>天前，在财政部门指定的政府采购信息发布媒体上发布更正公告，并通知所有已报名的潜在投标人。</w:t>
      </w:r>
    </w:p>
    <w:p w14:paraId="3767F4BF">
      <w:pPr>
        <w:widowControl/>
        <w:snapToGrid w:val="0"/>
        <w:spacing w:before="120" w:line="360" w:lineRule="auto"/>
        <w:ind w:right="-87" w:firstLine="415" w:firstLineChars="198"/>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招标文件的答复、澄清、修改、补充通知实质上改变采购需求相关内容，且自招标文件的答复、澄清、修改、补充通知发出之日起至投标截止时间止不足</w:t>
      </w:r>
      <w:r>
        <w:rPr>
          <w:rFonts w:ascii="Times New Roman" w:hAnsi="Times New Roman" w:eastAsia="宋体" w:cs="Times New Roman"/>
          <w:color w:val="auto"/>
          <w:szCs w:val="21"/>
        </w:rPr>
        <w:t>15</w:t>
      </w:r>
      <w:r>
        <w:rPr>
          <w:rFonts w:hint="eastAsia" w:ascii="Times New Roman" w:hAnsi="Times New Roman" w:eastAsia="宋体" w:cs="Times New Roman"/>
          <w:color w:val="auto"/>
          <w:szCs w:val="21"/>
        </w:rPr>
        <w:t>天的，招标采购单位可视情况推迟投标截止时间和开标时间，按规定在财政部门指定的政府采购信息发布媒体上发布变更公告，并将变更后的时间通知所有已报名的潜在投标人。</w:t>
      </w:r>
    </w:p>
    <w:p w14:paraId="50DC580E">
      <w:pPr>
        <w:widowControl/>
        <w:snapToGrid w:val="0"/>
        <w:spacing w:before="120" w:line="360" w:lineRule="auto"/>
        <w:ind w:right="-87" w:firstLine="415" w:firstLineChars="198"/>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招标文件澄清、答复、修改、补充的内容为采购文件的组成部分。当招标文件与招标文件的答复、澄清、修改、补充通知就同一内容的表述不一致时，以最后发出的变更公告为准。</w:t>
      </w:r>
    </w:p>
    <w:p w14:paraId="3F421E30">
      <w:pPr>
        <w:snapToGrid w:val="0"/>
        <w:spacing w:before="120" w:line="360" w:lineRule="auto"/>
        <w:ind w:right="-506" w:rightChars="-241" w:firstLine="420" w:firstLineChars="200"/>
        <w:rPr>
          <w:rFonts w:ascii="Times New Roman" w:hAnsi="Times New Roman" w:eastAsia="宋体" w:cs="Times New Roman"/>
          <w:color w:val="auto"/>
          <w:szCs w:val="21"/>
        </w:rPr>
      </w:pPr>
      <w:r>
        <w:rPr>
          <w:rFonts w:ascii="Times New Roman" w:hAnsi="Times New Roman" w:eastAsia="宋体" w:cs="Times New Roman"/>
          <w:color w:val="auto"/>
          <w:szCs w:val="21"/>
        </w:rPr>
        <w:t>4.</w:t>
      </w:r>
      <w:r>
        <w:rPr>
          <w:rFonts w:hint="eastAsia" w:ascii="Times New Roman" w:hAnsi="Times New Roman" w:eastAsia="宋体" w:cs="Times New Roman"/>
          <w:color w:val="auto"/>
          <w:szCs w:val="21"/>
        </w:rPr>
        <w:t>招标文件的澄清、答复、修改或补充都应该通过本代理机构以法定形式发布。</w:t>
      </w:r>
    </w:p>
    <w:p w14:paraId="581650A5">
      <w:pPr>
        <w:snapToGrid w:val="0"/>
        <w:spacing w:before="120" w:line="360" w:lineRule="auto"/>
        <w:ind w:right="-87" w:firstLine="2923" w:firstLineChars="1040"/>
        <w:outlineLvl w:val="1"/>
        <w:rPr>
          <w:rFonts w:ascii="Times New Roman" w:hAnsi="Times New Roman" w:eastAsia="宋体" w:cs="Times New Roman"/>
          <w:b/>
          <w:color w:val="auto"/>
          <w:sz w:val="28"/>
        </w:rPr>
      </w:pPr>
      <w:r>
        <w:rPr>
          <w:rFonts w:hint="eastAsia" w:ascii="Times New Roman" w:hAnsi="Times New Roman" w:eastAsia="宋体" w:cs="Times New Roman"/>
          <w:b/>
          <w:color w:val="auto"/>
          <w:sz w:val="28"/>
        </w:rPr>
        <w:t>三、投标文件的编制</w:t>
      </w:r>
    </w:p>
    <w:p w14:paraId="03B4CF6B">
      <w:pPr>
        <w:spacing w:line="336" w:lineRule="auto"/>
        <w:ind w:firstLine="211" w:firstLineChars="100"/>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（一）投标文件的签署</w:t>
      </w:r>
    </w:p>
    <w:p w14:paraId="58C28160">
      <w:pPr>
        <w:spacing w:line="336" w:lineRule="auto"/>
        <w:ind w:firstLine="420"/>
        <w:rPr>
          <w:rFonts w:ascii="Times New Roman" w:hAnsi="Times New Roman" w:eastAsia="宋体" w:cs="Times New Roman"/>
          <w:b/>
          <w:bCs/>
          <w:color w:val="auto"/>
          <w:szCs w:val="21"/>
        </w:rPr>
      </w:pPr>
      <w:r>
        <w:rPr>
          <w:rFonts w:ascii="Times New Roman" w:hAnsi="Times New Roman" w:eastAsia="宋体" w:cs="Times New Roman"/>
          <w:b/>
          <w:bCs/>
          <w:color w:val="auto"/>
          <w:szCs w:val="21"/>
        </w:rPr>
        <w:t>1.</w:t>
      </w:r>
      <w:r>
        <w:rPr>
          <w:rFonts w:hint="eastAsia" w:ascii="Times New Roman" w:hAnsi="Times New Roman" w:eastAsia="宋体" w:cs="Times New Roman"/>
          <w:b/>
          <w:bCs/>
          <w:color w:val="auto"/>
          <w:szCs w:val="21"/>
        </w:rPr>
        <w:t>电子投标文件部分：</w:t>
      </w:r>
    </w:p>
    <w:p w14:paraId="14202261">
      <w:pPr>
        <w:spacing w:line="336" w:lineRule="auto"/>
        <w:ind w:firstLine="420"/>
        <w:rPr>
          <w:rFonts w:ascii="Times New Roman" w:hAnsi="Times New Roman" w:eastAsia="宋体" w:cs="Times New Roman"/>
          <w:color w:val="auto"/>
          <w:szCs w:val="21"/>
        </w:rPr>
      </w:pPr>
      <w:r>
        <w:rPr>
          <w:rFonts w:hint="eastAsia" w:ascii="Times New Roman" w:hAnsi="Times New Roman" w:eastAsia="宋体" w:cs="Times New Roman"/>
          <w:color w:val="auto"/>
          <w:szCs w:val="21"/>
        </w:rPr>
        <w:t>投标人应根据</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政采云供应商项目采购</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电子交易操作指南</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及本招标文件规定的格式和顺序编制电子投标文件并进行关联定位。</w:t>
      </w:r>
    </w:p>
    <w:p w14:paraId="0D41D9E0">
      <w:pPr>
        <w:spacing w:line="336" w:lineRule="auto"/>
        <w:ind w:firstLine="420"/>
        <w:rPr>
          <w:rFonts w:ascii="Times New Roman" w:hAnsi="Times New Roman" w:eastAsia="宋体" w:cs="Times New Roman"/>
          <w:b/>
          <w:bCs/>
          <w:color w:val="auto"/>
          <w:szCs w:val="21"/>
        </w:rPr>
      </w:pPr>
      <w:r>
        <w:rPr>
          <w:rFonts w:ascii="Times New Roman" w:hAnsi="Times New Roman" w:eastAsia="宋体" w:cs="Times New Roman"/>
          <w:b/>
          <w:bCs/>
          <w:color w:val="auto"/>
          <w:szCs w:val="21"/>
        </w:rPr>
        <w:t>2.</w:t>
      </w:r>
      <w:r>
        <w:rPr>
          <w:rFonts w:hint="eastAsia" w:ascii="Times New Roman" w:hAnsi="Times New Roman" w:eastAsia="宋体" w:cs="Times New Roman"/>
          <w:b/>
          <w:bCs/>
          <w:color w:val="auto"/>
          <w:szCs w:val="21"/>
        </w:rPr>
        <w:t>备份投标文件部分：</w:t>
      </w:r>
    </w:p>
    <w:p w14:paraId="3B31CA7C">
      <w:pPr>
        <w:snapToGrid w:val="0"/>
        <w:spacing w:before="120" w:beforeLines="50" w:after="120" w:afterLines="50" w:line="336" w:lineRule="auto"/>
        <w:ind w:right="-506" w:rightChars="-241" w:firstLine="420" w:firstLineChars="200"/>
        <w:rPr>
          <w:rFonts w:ascii="Times New Roman" w:hAnsi="Times New Roman" w:eastAsia="宋体" w:cs="Times New Roman"/>
          <w:color w:val="auto"/>
          <w:szCs w:val="21"/>
        </w:rPr>
      </w:pPr>
      <w:r>
        <w:rPr>
          <w:rFonts w:hint="eastAsia" w:ascii="Times New Roman" w:hAnsi="Times New Roman" w:eastAsia="宋体" w:cs="Times New Roman"/>
          <w:color w:val="auto"/>
          <w:szCs w:val="21"/>
        </w:rPr>
        <w:t>以介质存储的数据电文形式的备份投标文件，按政采云平台项目采购</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电子交易操作指南中上传的电子投标文件格式，以</w:t>
      </w:r>
      <w:r>
        <w:rPr>
          <w:rFonts w:ascii="Times New Roman" w:hAnsi="Times New Roman" w:eastAsia="宋体" w:cs="Times New Roman"/>
          <w:color w:val="auto"/>
          <w:szCs w:val="21"/>
        </w:rPr>
        <w:t>U</w:t>
      </w:r>
      <w:r>
        <w:rPr>
          <w:rFonts w:hint="eastAsia" w:ascii="Times New Roman" w:hAnsi="Times New Roman" w:eastAsia="宋体" w:cs="Times New Roman"/>
          <w:color w:val="auto"/>
          <w:szCs w:val="21"/>
        </w:rPr>
        <w:t>盘形式存储提供。数量为</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份。</w:t>
      </w:r>
    </w:p>
    <w:p w14:paraId="5C58BCD9">
      <w:pPr>
        <w:tabs>
          <w:tab w:val="left" w:pos="0"/>
        </w:tabs>
        <w:spacing w:line="360" w:lineRule="auto"/>
        <w:ind w:firstLine="211" w:firstLineChars="100"/>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（二）投标文件的组成</w:t>
      </w:r>
    </w:p>
    <w:p w14:paraId="773C760B">
      <w:pPr>
        <w:spacing w:before="120" w:beforeLines="50" w:line="360" w:lineRule="auto"/>
        <w:ind w:firstLine="413" w:firstLineChars="196"/>
        <w:rPr>
          <w:rFonts w:ascii="宋体" w:hAnsi="Courier New" w:eastAsia="宋体" w:cs="Times New Roman"/>
          <w:color w:val="auto"/>
          <w:szCs w:val="21"/>
        </w:rPr>
      </w:pPr>
      <w:r>
        <w:rPr>
          <w:rFonts w:hint="eastAsia" w:ascii="宋体" w:hAnsi="Courier New" w:eastAsia="宋体" w:cs="Times New Roman"/>
          <w:b/>
          <w:bCs/>
          <w:color w:val="auto"/>
          <w:szCs w:val="21"/>
        </w:rPr>
        <w:t>投标文件由资格响应文件、商务及技术响应文件、报价文件三部份组成。</w:t>
      </w:r>
      <w:r>
        <w:rPr>
          <w:rFonts w:hint="eastAsia" w:ascii="宋体" w:hAnsi="Courier New" w:eastAsia="宋体" w:cs="Times New Roman"/>
          <w:color w:val="auto"/>
          <w:szCs w:val="21"/>
        </w:rPr>
        <w:t>电子投标文件中所须加盖公章部分均采用CA签章。（以下投标文件的部分格式详见本招标文件第六章，如本招标文件没有提供相应的格式，投标人可自行制表填写）</w:t>
      </w:r>
    </w:p>
    <w:p w14:paraId="3F065F7E">
      <w:pPr>
        <w:spacing w:before="120" w:beforeLines="50" w:line="360" w:lineRule="auto"/>
        <w:ind w:left="417"/>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资格响应部份：</w:t>
      </w:r>
    </w:p>
    <w:p w14:paraId="7853586A">
      <w:pPr>
        <w:spacing w:line="360" w:lineRule="auto"/>
        <w:ind w:left="417"/>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基本资格条件：符合《中华人民共和国政府采购法》第二十二条的规定；</w:t>
      </w:r>
    </w:p>
    <w:p w14:paraId="4B2031BA">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（以下</w:t>
      </w:r>
      <w:r>
        <w:rPr>
          <w:rFonts w:ascii="Times New Roman" w:hAnsi="Times New Roman" w:eastAsia="宋体" w:cs="Times New Roman"/>
          <w:color w:val="auto"/>
        </w:rPr>
        <w:t>A~E</w:t>
      </w:r>
      <w:r>
        <w:rPr>
          <w:rFonts w:hint="eastAsia" w:ascii="Times New Roman" w:hAnsi="Times New Roman" w:eastAsia="宋体" w:cs="Times New Roman"/>
          <w:color w:val="auto"/>
        </w:rPr>
        <w:t>项是第二十二条要求及对应证明材料的具体内容，各投标人须在投标文件中出具对应证明材料）</w:t>
      </w:r>
    </w:p>
    <w:p w14:paraId="07964C67">
      <w:pPr>
        <w:spacing w:line="360" w:lineRule="auto"/>
        <w:ind w:firstLine="482" w:firstLineChars="200"/>
        <w:rPr>
          <w:rFonts w:ascii="Times New Roman" w:hAnsi="Times New Roman" w:eastAsia="宋体" w:cs="Times New Roman"/>
          <w:b/>
          <w:bCs/>
          <w:color w:val="auto"/>
        </w:rPr>
      </w:pPr>
      <w:r>
        <w:rPr>
          <w:rFonts w:ascii="Times New Roman" w:hAnsi="Times New Roman" w:eastAsia="宋体" w:cs="Times New Roman"/>
          <w:b/>
          <w:bCs/>
          <w:color w:val="auto"/>
          <w:sz w:val="24"/>
        </w:rPr>
        <w:t>A.</w:t>
      </w:r>
      <w:r>
        <w:rPr>
          <w:rFonts w:hint="eastAsia" w:ascii="Times New Roman" w:hAnsi="Times New Roman" w:eastAsia="宋体" w:cs="Times New Roman"/>
          <w:b/>
          <w:bCs/>
          <w:color w:val="auto"/>
        </w:rPr>
        <w:t>具有独立承担民事责任的能力：</w:t>
      </w:r>
    </w:p>
    <w:p w14:paraId="5ADFC716">
      <w:pPr>
        <w:spacing w:line="360" w:lineRule="auto"/>
        <w:ind w:firstLine="420" w:firstLineChars="200"/>
        <w:rPr>
          <w:rFonts w:ascii="Times New Roman" w:hAnsi="Times New Roman" w:eastAsia="宋体" w:cs="Times New Roman"/>
          <w:b/>
          <w:bCs/>
          <w:color w:val="auto"/>
        </w:rPr>
      </w:pPr>
      <w:r>
        <w:rPr>
          <w:rFonts w:hint="eastAsia" w:ascii="Times New Roman" w:hAnsi="Times New Roman" w:eastAsia="宋体" w:cs="Times New Roman"/>
          <w:color w:val="auto"/>
        </w:rPr>
        <w:t>投标人须在投标文件中出具符合以下情况的证明材料复印件</w:t>
      </w:r>
      <w:r>
        <w:rPr>
          <w:rFonts w:hint="eastAsia" w:ascii="Times New Roman" w:hAnsi="Times New Roman" w:eastAsia="宋体" w:cs="Times New Roman"/>
          <w:b/>
          <w:bCs/>
          <w:color w:val="auto"/>
        </w:rPr>
        <w:t>（五选一）：</w:t>
      </w:r>
    </w:p>
    <w:p w14:paraId="3566E546">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①如投标人是企业（包括合伙企业），提供在工商部门注册的有效</w:t>
      </w:r>
      <w:r>
        <w:rPr>
          <w:rFonts w:ascii="Times New Roman" w:hAnsi="Times New Roman" w:eastAsia="宋体" w:cs="Times New Roman"/>
          <w:color w:val="auto"/>
        </w:rPr>
        <w:t>“</w:t>
      </w:r>
      <w:r>
        <w:rPr>
          <w:rFonts w:hint="eastAsia" w:ascii="Times New Roman" w:hAnsi="Times New Roman" w:eastAsia="宋体" w:cs="Times New Roman"/>
          <w:color w:val="auto"/>
        </w:rPr>
        <w:t>企业法人营业执照</w:t>
      </w:r>
      <w:r>
        <w:rPr>
          <w:rFonts w:ascii="Times New Roman" w:hAnsi="Times New Roman" w:eastAsia="宋体" w:cs="Times New Roman"/>
          <w:color w:val="auto"/>
        </w:rPr>
        <w:t>”</w:t>
      </w:r>
      <w:r>
        <w:rPr>
          <w:rFonts w:hint="eastAsia" w:ascii="Times New Roman" w:hAnsi="Times New Roman" w:eastAsia="宋体" w:cs="Times New Roman"/>
          <w:color w:val="auto"/>
        </w:rPr>
        <w:t>或</w:t>
      </w:r>
      <w:r>
        <w:rPr>
          <w:rFonts w:ascii="Times New Roman" w:hAnsi="Times New Roman" w:eastAsia="宋体" w:cs="Times New Roman"/>
          <w:color w:val="auto"/>
        </w:rPr>
        <w:t>“</w:t>
      </w:r>
      <w:r>
        <w:rPr>
          <w:rFonts w:hint="eastAsia" w:ascii="Times New Roman" w:hAnsi="Times New Roman" w:eastAsia="宋体" w:cs="Times New Roman"/>
          <w:color w:val="auto"/>
        </w:rPr>
        <w:t>营业执照</w:t>
      </w:r>
      <w:r>
        <w:rPr>
          <w:rFonts w:ascii="Times New Roman" w:hAnsi="Times New Roman" w:eastAsia="宋体" w:cs="Times New Roman"/>
          <w:color w:val="auto"/>
        </w:rPr>
        <w:t>”</w:t>
      </w:r>
      <w:r>
        <w:rPr>
          <w:rFonts w:hint="eastAsia" w:ascii="Times New Roman" w:hAnsi="Times New Roman" w:eastAsia="宋体" w:cs="Times New Roman"/>
          <w:color w:val="auto"/>
        </w:rPr>
        <w:t>；</w:t>
      </w:r>
    </w:p>
    <w:p w14:paraId="0AEF5539">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②如投标人是事业单位，提供有效的</w:t>
      </w:r>
      <w:r>
        <w:rPr>
          <w:rFonts w:ascii="Times New Roman" w:hAnsi="Times New Roman" w:eastAsia="宋体" w:cs="Times New Roman"/>
          <w:color w:val="auto"/>
        </w:rPr>
        <w:t>“</w:t>
      </w:r>
      <w:r>
        <w:rPr>
          <w:rFonts w:hint="eastAsia" w:ascii="Times New Roman" w:hAnsi="Times New Roman" w:eastAsia="宋体" w:cs="Times New Roman"/>
          <w:color w:val="auto"/>
        </w:rPr>
        <w:t>事业单位法人证书</w:t>
      </w:r>
      <w:r>
        <w:rPr>
          <w:rFonts w:ascii="Times New Roman" w:hAnsi="Times New Roman" w:eastAsia="宋体" w:cs="Times New Roman"/>
          <w:color w:val="auto"/>
        </w:rPr>
        <w:t>”</w:t>
      </w:r>
      <w:r>
        <w:rPr>
          <w:rFonts w:hint="eastAsia" w:ascii="Times New Roman" w:hAnsi="Times New Roman" w:eastAsia="宋体" w:cs="Times New Roman"/>
          <w:color w:val="auto"/>
        </w:rPr>
        <w:t>；</w:t>
      </w:r>
    </w:p>
    <w:p w14:paraId="268DCD87">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③如投标人是非企业专业服务机构的，提供执业许可证等证明文件；</w:t>
      </w:r>
    </w:p>
    <w:p w14:paraId="56F2BAD5">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④如投标人是个体工商户，提供有效的</w:t>
      </w:r>
      <w:r>
        <w:rPr>
          <w:rFonts w:ascii="Times New Roman" w:hAnsi="Times New Roman" w:eastAsia="宋体" w:cs="Times New Roman"/>
          <w:color w:val="auto"/>
        </w:rPr>
        <w:t>“</w:t>
      </w:r>
      <w:r>
        <w:rPr>
          <w:rFonts w:hint="eastAsia" w:ascii="Times New Roman" w:hAnsi="Times New Roman" w:eastAsia="宋体" w:cs="Times New Roman"/>
          <w:color w:val="auto"/>
        </w:rPr>
        <w:t>个体工商户营业执照</w:t>
      </w:r>
      <w:r>
        <w:rPr>
          <w:rFonts w:ascii="Times New Roman" w:hAnsi="Times New Roman" w:eastAsia="宋体" w:cs="Times New Roman"/>
          <w:color w:val="auto"/>
        </w:rPr>
        <w:t>”</w:t>
      </w:r>
      <w:r>
        <w:rPr>
          <w:rFonts w:hint="eastAsia" w:ascii="Times New Roman" w:hAnsi="Times New Roman" w:eastAsia="宋体" w:cs="Times New Roman"/>
          <w:color w:val="auto"/>
        </w:rPr>
        <w:t>；</w:t>
      </w:r>
    </w:p>
    <w:p w14:paraId="65768204">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⑤如投标人是自然人，提供有效的自然人身份证明（居民身份证正反面或公安机关出具的临时居民身份证正反面或港澳台胞证或证照）。</w:t>
      </w:r>
    </w:p>
    <w:p w14:paraId="69D21D4D">
      <w:pPr>
        <w:spacing w:line="360" w:lineRule="auto"/>
        <w:ind w:firstLine="422" w:firstLineChars="200"/>
        <w:rPr>
          <w:rFonts w:ascii="Times New Roman" w:hAnsi="Times New Roman" w:eastAsia="宋体" w:cs="Times New Roman"/>
          <w:b/>
          <w:bCs/>
          <w:color w:val="auto"/>
        </w:rPr>
      </w:pPr>
      <w:r>
        <w:rPr>
          <w:rFonts w:ascii="Times New Roman" w:hAnsi="Times New Roman" w:eastAsia="宋体" w:cs="Times New Roman"/>
          <w:b/>
          <w:bCs/>
          <w:color w:val="auto"/>
          <w:szCs w:val="21"/>
        </w:rPr>
        <w:t>B.</w:t>
      </w:r>
      <w:r>
        <w:rPr>
          <w:rFonts w:hint="eastAsia" w:ascii="Times New Roman" w:hAnsi="Times New Roman" w:eastAsia="宋体" w:cs="Times New Roman"/>
          <w:b/>
          <w:bCs/>
          <w:color w:val="auto"/>
        </w:rPr>
        <w:t>具有良好的商业信誉和健全的财务会计制度：</w:t>
      </w:r>
    </w:p>
    <w:p w14:paraId="75A67F5A">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①良好的商业信誉：</w:t>
      </w:r>
    </w:p>
    <w:p w14:paraId="6EA77D61">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至本项目投标截止时间止未被</w:t>
      </w:r>
      <w:r>
        <w:rPr>
          <w:rFonts w:ascii="Times New Roman" w:hAnsi="Times New Roman" w:eastAsia="宋体" w:cs="Times New Roman"/>
          <w:color w:val="auto"/>
        </w:rPr>
        <w:t>“</w:t>
      </w:r>
      <w:r>
        <w:rPr>
          <w:rFonts w:hint="eastAsia" w:ascii="Times New Roman" w:hAnsi="Times New Roman" w:eastAsia="宋体" w:cs="Times New Roman"/>
          <w:color w:val="auto"/>
        </w:rPr>
        <w:t>信用中国</w:t>
      </w:r>
      <w:r>
        <w:rPr>
          <w:rFonts w:ascii="Times New Roman" w:hAnsi="Times New Roman" w:eastAsia="宋体" w:cs="Times New Roman"/>
          <w:color w:val="auto"/>
        </w:rPr>
        <w:t>”</w:t>
      </w:r>
      <w:r>
        <w:rPr>
          <w:rFonts w:hint="eastAsia" w:ascii="Times New Roman" w:hAnsi="Times New Roman" w:eastAsia="宋体" w:cs="Times New Roman"/>
          <w:color w:val="auto"/>
        </w:rPr>
        <w:t>（</w:t>
      </w:r>
      <w:r>
        <w:rPr>
          <w:rFonts w:ascii="Times New Roman" w:hAnsi="Times New Roman" w:eastAsia="宋体" w:cs="Times New Roman"/>
          <w:color w:val="auto"/>
        </w:rPr>
        <w:t>www.creditchina.gov.cn</w:t>
      </w:r>
      <w:r>
        <w:rPr>
          <w:rFonts w:hint="eastAsia" w:ascii="Times New Roman" w:hAnsi="Times New Roman" w:eastAsia="宋体" w:cs="Times New Roman"/>
          <w:color w:val="auto"/>
        </w:rPr>
        <w:t>）、中国政府采购网（</w:t>
      </w:r>
      <w:r>
        <w:rPr>
          <w:rFonts w:ascii="Times New Roman" w:hAnsi="Times New Roman" w:eastAsia="宋体" w:cs="Times New Roman"/>
          <w:color w:val="auto"/>
        </w:rPr>
        <w:t>www.ccgp.gov.cn</w:t>
      </w:r>
      <w:r>
        <w:rPr>
          <w:rFonts w:hint="eastAsia" w:ascii="Times New Roman" w:hAnsi="Times New Roman" w:eastAsia="宋体" w:cs="Times New Roman"/>
          <w:color w:val="auto"/>
        </w:rPr>
        <w:t>）列入失信被执行人、重大税收违法案件当事人名单、政府采购严重违法失信行为记录名单网页查询记录截图。</w:t>
      </w:r>
    </w:p>
    <w:p w14:paraId="212ACC3D">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szCs w:val="21"/>
        </w:rPr>
        <w:t>提供</w:t>
      </w:r>
      <w:r>
        <w:rPr>
          <w:rFonts w:hint="eastAsia" w:ascii="Times New Roman" w:hAnsi="Times New Roman" w:eastAsia="宋体" w:cs="Times New Roman"/>
          <w:color w:val="auto"/>
        </w:rPr>
        <w:t>查询截图，（截图查询网站时间须在开标截止前二个星期内）</w:t>
      </w:r>
    </w:p>
    <w:p w14:paraId="7009876C">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szCs w:val="21"/>
        </w:rPr>
        <w:t>对</w:t>
      </w:r>
      <w:r>
        <w:rPr>
          <w:rFonts w:hint="eastAsia" w:ascii="Times New Roman" w:hAnsi="Times New Roman" w:eastAsia="宋体" w:cs="Times New Roman"/>
          <w:color w:val="auto"/>
        </w:rPr>
        <w:t>列入失信被执行人、重大税收违法案件当事人名单、政府采购严重违法失信行为记录名单的投标人，其投标将作无效标处理。</w:t>
      </w:r>
    </w:p>
    <w:p w14:paraId="171DE93E">
      <w:pPr>
        <w:spacing w:line="360" w:lineRule="auto"/>
        <w:ind w:firstLine="420" w:firstLineChars="200"/>
        <w:rPr>
          <w:rFonts w:ascii="Times New Roman" w:hAnsi="Times New Roman" w:eastAsia="宋体" w:cs="Times New Roman"/>
          <w:color w:val="auto"/>
        </w:rPr>
      </w:pPr>
      <w:r>
        <w:rPr>
          <w:rFonts w:hint="eastAsia" w:ascii="宋体" w:hAnsi="宋体" w:eastAsia="宋体" w:cs="宋体"/>
          <w:color w:val="auto"/>
        </w:rPr>
        <w:t>②</w:t>
      </w:r>
      <w:r>
        <w:rPr>
          <w:rFonts w:hint="eastAsia" w:ascii="Times New Roman" w:hAnsi="Times New Roman" w:eastAsia="宋体" w:cs="Times New Roman"/>
          <w:color w:val="auto"/>
        </w:rPr>
        <w:t>健全的财务会计制度：</w:t>
      </w:r>
    </w:p>
    <w:p w14:paraId="7BD901A6">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投标人须在投标文件中出具符合以下情况的证明材料复印件</w:t>
      </w:r>
      <w:r>
        <w:rPr>
          <w:rFonts w:hint="eastAsia" w:ascii="Times New Roman" w:hAnsi="Times New Roman" w:eastAsia="宋体" w:cs="Times New Roman"/>
          <w:b/>
          <w:bCs/>
          <w:color w:val="auto"/>
        </w:rPr>
        <w:t>（三选一）</w:t>
      </w:r>
      <w:r>
        <w:rPr>
          <w:rFonts w:hint="eastAsia" w:ascii="Times New Roman" w:hAnsi="Times New Roman" w:eastAsia="宋体" w:cs="Times New Roman"/>
          <w:color w:val="auto"/>
        </w:rPr>
        <w:t>：</w:t>
      </w:r>
    </w:p>
    <w:p w14:paraId="464F6B7F">
      <w:pPr>
        <w:tabs>
          <w:tab w:val="left" w:pos="735"/>
        </w:tabs>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（一）投标人是法人的，应提供最近一个年度经审计的财务报告，包括资产负债表、利润表、现金流量表</w:t>
      </w:r>
      <w:bookmarkStart w:id="19" w:name="_Hlk172274234"/>
      <w:r>
        <w:rPr>
          <w:rFonts w:hint="eastAsia" w:ascii="Times New Roman" w:hAnsi="Times New Roman" w:eastAsia="宋体" w:cs="Times New Roman"/>
          <w:color w:val="auto"/>
        </w:rPr>
        <w:t>（执行《小企业会计准则》的提供资产负债表和利润表两张基本报表，执行《政府会计准则》的提供资产负债表、收入费用表和现金流量表）</w:t>
      </w:r>
      <w:bookmarkEnd w:id="19"/>
      <w:r>
        <w:rPr>
          <w:rFonts w:hint="eastAsia" w:ascii="Times New Roman" w:hAnsi="Times New Roman" w:eastAsia="宋体" w:cs="Times New Roman"/>
          <w:color w:val="auto"/>
        </w:rPr>
        <w:t>，未经审计的，提供资产负债表、利润表或损益表。</w:t>
      </w:r>
    </w:p>
    <w:p w14:paraId="3C79A97C">
      <w:pPr>
        <w:numPr>
          <w:ilvl w:val="0"/>
          <w:numId w:val="10"/>
        </w:numPr>
        <w:tabs>
          <w:tab w:val="left" w:pos="735"/>
        </w:tabs>
        <w:spacing w:line="360" w:lineRule="auto"/>
        <w:rPr>
          <w:rFonts w:ascii="Times New Roman" w:hAnsi="Times New Roman" w:eastAsia="宋体" w:cs="Times New Roman"/>
          <w:color w:val="auto"/>
        </w:rPr>
      </w:pPr>
      <w:r>
        <w:rPr>
          <w:rFonts w:hint="eastAsia" w:ascii="Times New Roman" w:hAnsi="Times New Roman" w:eastAsia="宋体" w:cs="Times New Roman"/>
          <w:color w:val="auto"/>
        </w:rPr>
        <w:t>其他组织和自然人如没有经审计的财务报告的，可以提供资产负债表、利润表、现金</w:t>
      </w:r>
    </w:p>
    <w:p w14:paraId="394844EF">
      <w:pPr>
        <w:tabs>
          <w:tab w:val="left" w:pos="735"/>
        </w:tabs>
        <w:spacing w:line="360" w:lineRule="auto"/>
        <w:rPr>
          <w:rFonts w:ascii="Times New Roman" w:hAnsi="Times New Roman" w:eastAsia="宋体" w:cs="Times New Roman"/>
          <w:color w:val="auto"/>
        </w:rPr>
      </w:pPr>
      <w:r>
        <w:rPr>
          <w:rFonts w:hint="eastAsia" w:ascii="Times New Roman" w:hAnsi="Times New Roman" w:eastAsia="宋体" w:cs="Times New Roman"/>
          <w:color w:val="auto"/>
        </w:rPr>
        <w:t>流量表。</w:t>
      </w:r>
    </w:p>
    <w:p w14:paraId="6EFE79CE">
      <w:pPr>
        <w:numPr>
          <w:ilvl w:val="0"/>
          <w:numId w:val="10"/>
        </w:numPr>
        <w:tabs>
          <w:tab w:val="left" w:pos="735"/>
        </w:tabs>
        <w:spacing w:line="360" w:lineRule="auto"/>
        <w:rPr>
          <w:rFonts w:ascii="Times New Roman" w:hAnsi="Times New Roman" w:eastAsia="宋体" w:cs="Times New Roman"/>
          <w:color w:val="auto"/>
        </w:rPr>
      </w:pPr>
      <w:r>
        <w:rPr>
          <w:rFonts w:hint="eastAsia" w:ascii="Times New Roman" w:hAnsi="Times New Roman" w:eastAsia="宋体" w:cs="Times New Roman"/>
          <w:color w:val="auto"/>
        </w:rPr>
        <w:t>新成立不足一年的公司须出具情况说明。</w:t>
      </w:r>
    </w:p>
    <w:p w14:paraId="00285ACD">
      <w:pPr>
        <w:spacing w:line="360" w:lineRule="auto"/>
        <w:ind w:firstLine="413" w:firstLineChars="196"/>
        <w:rPr>
          <w:rFonts w:ascii="Times New Roman" w:hAnsi="Times New Roman" w:eastAsia="宋体" w:cs="Times New Roman"/>
          <w:b/>
          <w:bCs/>
          <w:color w:val="auto"/>
          <w:szCs w:val="21"/>
        </w:rPr>
      </w:pPr>
      <w:r>
        <w:rPr>
          <w:rFonts w:ascii="Times New Roman" w:hAnsi="Times New Roman" w:eastAsia="宋体" w:cs="Times New Roman"/>
          <w:b/>
          <w:bCs/>
          <w:color w:val="auto"/>
          <w:szCs w:val="21"/>
        </w:rPr>
        <w:t>C.</w:t>
      </w:r>
      <w:r>
        <w:rPr>
          <w:rFonts w:hint="eastAsia" w:ascii="Times New Roman" w:hAnsi="Times New Roman" w:eastAsia="宋体" w:cs="Times New Roman"/>
          <w:b/>
          <w:bCs/>
          <w:color w:val="auto"/>
          <w:szCs w:val="21"/>
        </w:rPr>
        <w:t>具有履行合同所必需的设备和专业技术能力：</w:t>
      </w:r>
    </w:p>
    <w:p w14:paraId="7542E0AB">
      <w:pPr>
        <w:spacing w:line="360" w:lineRule="auto"/>
        <w:ind w:left="420"/>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投标人须在投标文件中出具具有履行合同所必需的设备和专业技术能力的《投标函》。</w:t>
      </w:r>
    </w:p>
    <w:p w14:paraId="401C46CA">
      <w:pPr>
        <w:spacing w:line="360" w:lineRule="auto"/>
        <w:ind w:firstLine="413" w:firstLineChars="196"/>
        <w:rPr>
          <w:rFonts w:ascii="Times New Roman" w:hAnsi="Times New Roman" w:eastAsia="宋体" w:cs="Times New Roman"/>
          <w:b/>
          <w:bCs/>
          <w:color w:val="auto"/>
          <w:szCs w:val="21"/>
        </w:rPr>
      </w:pPr>
      <w:r>
        <w:rPr>
          <w:rFonts w:ascii="Times New Roman" w:hAnsi="Times New Roman" w:eastAsia="宋体" w:cs="Times New Roman"/>
          <w:b/>
          <w:bCs/>
          <w:color w:val="auto"/>
          <w:szCs w:val="21"/>
        </w:rPr>
        <w:t>D.</w:t>
      </w:r>
      <w:r>
        <w:rPr>
          <w:rFonts w:hint="eastAsia" w:ascii="Times New Roman" w:hAnsi="Times New Roman" w:eastAsia="宋体" w:cs="Times New Roman"/>
          <w:b/>
          <w:bCs/>
          <w:color w:val="auto"/>
          <w:szCs w:val="21"/>
        </w:rPr>
        <w:t>有依法缴纳税收和社会保障资金的良好记录：（如有）</w:t>
      </w:r>
    </w:p>
    <w:p w14:paraId="26B46AFE">
      <w:pPr>
        <w:spacing w:line="360" w:lineRule="auto"/>
        <w:ind w:firstLine="420" w:firstLineChars="200"/>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投标人须在投标文件中同时出具满足以下要求的证明材料复印件：</w:t>
      </w:r>
    </w:p>
    <w:p w14:paraId="2045B90A">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①投标人须提供由税务部门出具的最近一季度缴纳增值税和企业所得税的纳税证明。</w:t>
      </w:r>
    </w:p>
    <w:p w14:paraId="13C5116E">
      <w:pPr>
        <w:spacing w:line="360" w:lineRule="auto"/>
        <w:ind w:firstLine="420" w:firstLineChars="200"/>
        <w:rPr>
          <w:rFonts w:ascii="Times New Roman" w:hAnsi="Times New Roman" w:eastAsia="宋体" w:cs="Times New Roman"/>
          <w:color w:val="auto"/>
        </w:rPr>
      </w:pPr>
      <w:r>
        <w:rPr>
          <w:rFonts w:hint="eastAsia" w:ascii="宋体" w:hAnsi="宋体" w:eastAsia="宋体" w:cs="宋体"/>
          <w:color w:val="auto"/>
        </w:rPr>
        <w:t>②</w:t>
      </w:r>
      <w:r>
        <w:rPr>
          <w:rFonts w:hint="eastAsia" w:ascii="Times New Roman" w:hAnsi="Times New Roman" w:eastAsia="宋体" w:cs="Times New Roman"/>
          <w:color w:val="auto"/>
        </w:rPr>
        <w:t>投标人须提供最近三个月内缴纳社会保险的凭据（缴税付款凭证或社会保险缴纳证明）</w:t>
      </w:r>
    </w:p>
    <w:p w14:paraId="4C468837">
      <w:pPr>
        <w:spacing w:line="360" w:lineRule="auto"/>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依法免税或不需要缴纳社会保障资金的投标人，应提供相应文件证明其依法免税或不需要缴纳社会保障资金。</w:t>
      </w:r>
    </w:p>
    <w:p w14:paraId="347058BC">
      <w:pPr>
        <w:spacing w:line="360" w:lineRule="auto"/>
        <w:ind w:firstLine="422" w:firstLineChars="200"/>
        <w:rPr>
          <w:rFonts w:ascii="Times New Roman" w:hAnsi="Times New Roman" w:eastAsia="宋体" w:cs="Times New Roman"/>
          <w:b/>
          <w:bCs/>
          <w:color w:val="auto"/>
        </w:rPr>
      </w:pPr>
      <w:r>
        <w:rPr>
          <w:rFonts w:ascii="Times New Roman" w:hAnsi="Times New Roman" w:eastAsia="宋体" w:cs="Times New Roman"/>
          <w:b/>
          <w:bCs/>
          <w:color w:val="auto"/>
        </w:rPr>
        <w:t>E.</w:t>
      </w:r>
      <w:r>
        <w:rPr>
          <w:rFonts w:hint="eastAsia" w:ascii="Times New Roman" w:hAnsi="Times New Roman" w:eastAsia="宋体" w:cs="Times New Roman"/>
          <w:b/>
          <w:bCs/>
          <w:color w:val="auto"/>
        </w:rPr>
        <w:t>参加政府采购活动前三年内，在经营活动中没有重大违法记录：</w:t>
      </w:r>
    </w:p>
    <w:p w14:paraId="4C1092A5">
      <w:pPr>
        <w:ind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投标人须在投标文件中出具《声明函》、廉政承诺书。（格式见附件）</w:t>
      </w:r>
    </w:p>
    <w:p w14:paraId="7EA0764D">
      <w:pPr>
        <w:snapToGrid w:val="0"/>
        <w:spacing w:before="120" w:beforeLines="50"/>
        <w:ind w:firstLine="415" w:firstLineChars="198"/>
        <w:rPr>
          <w:rFonts w:ascii="Times New Roman" w:hAnsi="Times New Roman" w:eastAsia="宋体" w:cs="Times New Roman"/>
          <w:color w:val="auto"/>
          <w:szCs w:val="21"/>
        </w:rPr>
      </w:pPr>
      <w:r>
        <w:rPr>
          <w:rFonts w:hint="eastAsia" w:ascii="Times New Roman" w:hAnsi="Times New Roman" w:eastAsia="宋体" w:cs="Times New Roman"/>
          <w:color w:val="auto"/>
          <w:szCs w:val="21"/>
        </w:rPr>
        <w:t>注：证明材料均需加盖签章。</w:t>
      </w:r>
    </w:p>
    <w:p w14:paraId="03296E5A">
      <w:pPr>
        <w:snapToGrid w:val="0"/>
        <w:spacing w:before="120" w:beforeLines="50"/>
        <w:ind w:firstLine="415" w:firstLineChars="198"/>
        <w:rPr>
          <w:rFonts w:ascii="Times New Roman" w:hAnsi="Times New Roman" w:eastAsia="宋体" w:cs="Times New Roman"/>
          <w:color w:val="auto"/>
          <w:szCs w:val="21"/>
        </w:rPr>
      </w:pPr>
      <w:r>
        <w:rPr>
          <w:rFonts w:hint="eastAsia" w:ascii="Times New Roman" w:hAnsi="Times New Roman" w:eastAsia="宋体" w:cs="Times New Roman"/>
          <w:color w:val="auto"/>
          <w:szCs w:val="21"/>
        </w:rPr>
        <w:t>中小企业声明函；</w:t>
      </w:r>
    </w:p>
    <w:p w14:paraId="18939819">
      <w:pPr>
        <w:snapToGrid w:val="0"/>
        <w:spacing w:before="120" w:beforeLines="50"/>
        <w:ind w:firstLine="415" w:firstLineChars="198"/>
        <w:rPr>
          <w:rFonts w:ascii="Times New Roman" w:hAnsi="Times New Roman" w:eastAsia="宋体" w:cs="Times New Roman"/>
          <w:color w:val="auto"/>
          <w:szCs w:val="21"/>
        </w:rPr>
      </w:pPr>
      <w:r>
        <w:rPr>
          <w:rFonts w:hint="eastAsia" w:ascii="Times New Roman" w:hAnsi="Times New Roman" w:eastAsia="宋体" w:cs="Times New Roman"/>
          <w:color w:val="auto"/>
          <w:szCs w:val="21"/>
        </w:rPr>
        <w:t>监狱企业声明函（如是）；</w:t>
      </w:r>
    </w:p>
    <w:p w14:paraId="152956C0">
      <w:pPr>
        <w:snapToGrid w:val="0"/>
        <w:spacing w:before="120" w:beforeLines="50"/>
        <w:ind w:firstLine="415" w:firstLineChars="198"/>
        <w:rPr>
          <w:rFonts w:ascii="Times New Roman" w:hAnsi="Times New Roman" w:eastAsia="宋体" w:cs="Times New Roman"/>
          <w:color w:val="auto"/>
          <w:szCs w:val="21"/>
        </w:rPr>
      </w:pPr>
      <w:r>
        <w:rPr>
          <w:rFonts w:hint="eastAsia" w:ascii="Times New Roman" w:hAnsi="Times New Roman" w:eastAsia="宋体" w:cs="Times New Roman"/>
          <w:color w:val="auto"/>
          <w:szCs w:val="21"/>
        </w:rPr>
        <w:t>残疾人福利性单位声明函（如是）；</w:t>
      </w:r>
    </w:p>
    <w:p w14:paraId="5B2B54B6">
      <w:pPr>
        <w:snapToGrid w:val="0"/>
        <w:spacing w:before="120" w:beforeLines="50" w:after="120" w:afterLines="50" w:line="336" w:lineRule="auto"/>
        <w:ind w:left="417" w:right="-506" w:rightChars="-241"/>
        <w:rPr>
          <w:rFonts w:hint="eastAsia" w:ascii="宋体" w:hAnsi="宋体" w:eastAsia="宋体" w:cs="Times New Roman"/>
          <w:b/>
          <w:color w:val="auto"/>
          <w:szCs w:val="21"/>
        </w:rPr>
      </w:pPr>
      <w:r>
        <w:rPr>
          <w:rFonts w:hint="eastAsia" w:ascii="宋体" w:hAnsi="宋体" w:eastAsia="宋体" w:cs="Times New Roman"/>
          <w:b/>
          <w:color w:val="auto"/>
          <w:szCs w:val="21"/>
        </w:rPr>
        <w:t>2.商务及技术部分：</w:t>
      </w:r>
    </w:p>
    <w:p w14:paraId="1443DB58">
      <w:pPr>
        <w:snapToGrid w:val="0"/>
        <w:spacing w:line="360" w:lineRule="auto"/>
        <w:ind w:firstLine="411" w:firstLineChars="196"/>
        <w:jc w:val="left"/>
        <w:rPr>
          <w:rFonts w:hint="eastAsia" w:ascii="宋体" w:hAnsi="宋体" w:eastAsia="宋体" w:cs="Times New Roman"/>
          <w:color w:val="auto"/>
          <w:szCs w:val="21"/>
        </w:rPr>
      </w:pPr>
      <w:r>
        <w:rPr>
          <w:rFonts w:ascii="宋体" w:hAnsi="宋体" w:eastAsia="宋体" w:cs="Times New Roman"/>
          <w:color w:val="auto"/>
          <w:szCs w:val="21"/>
        </w:rPr>
        <w:t>2.1</w:t>
      </w:r>
      <w:r>
        <w:rPr>
          <w:rFonts w:hint="eastAsia" w:ascii="宋体" w:hAnsi="宋体" w:eastAsia="宋体" w:cs="Times New Roman"/>
          <w:color w:val="auto"/>
          <w:szCs w:val="21"/>
        </w:rPr>
        <w:t>投标人基本情况表（如有）；</w:t>
      </w:r>
    </w:p>
    <w:p w14:paraId="46E46A61">
      <w:pPr>
        <w:snapToGrid w:val="0"/>
        <w:spacing w:line="360" w:lineRule="auto"/>
        <w:ind w:firstLine="411" w:firstLineChars="196"/>
        <w:jc w:val="left"/>
        <w:rPr>
          <w:rFonts w:hint="eastAsia" w:ascii="宋体" w:hAnsi="宋体" w:eastAsia="宋体" w:cs="Times New Roman"/>
          <w:color w:val="auto"/>
          <w:szCs w:val="21"/>
        </w:rPr>
      </w:pPr>
      <w:r>
        <w:rPr>
          <w:rFonts w:ascii="宋体" w:hAnsi="宋体" w:eastAsia="宋体" w:cs="Times New Roman"/>
          <w:color w:val="auto"/>
          <w:szCs w:val="21"/>
        </w:rPr>
        <w:t>2.2</w:t>
      </w:r>
      <w:r>
        <w:rPr>
          <w:rFonts w:hint="eastAsia" w:ascii="宋体" w:hAnsi="宋体" w:eastAsia="宋体" w:cs="Times New Roman"/>
          <w:color w:val="auto"/>
          <w:szCs w:val="21"/>
        </w:rPr>
        <w:t>成功案例及业绩；</w:t>
      </w:r>
    </w:p>
    <w:p w14:paraId="12A104A7">
      <w:pPr>
        <w:snapToGrid w:val="0"/>
        <w:spacing w:line="360" w:lineRule="auto"/>
        <w:ind w:firstLine="411" w:firstLineChars="196"/>
        <w:jc w:val="left"/>
        <w:rPr>
          <w:rFonts w:hint="eastAsia" w:ascii="宋体" w:hAnsi="宋体" w:eastAsia="宋体" w:cs="Times New Roman"/>
          <w:color w:val="auto"/>
          <w:szCs w:val="21"/>
        </w:rPr>
      </w:pPr>
      <w:r>
        <w:rPr>
          <w:rFonts w:ascii="宋体" w:hAnsi="宋体" w:eastAsia="宋体" w:cs="Times New Roman"/>
          <w:color w:val="auto"/>
          <w:szCs w:val="21"/>
        </w:rPr>
        <w:t xml:space="preserve">2.3 </w:t>
      </w:r>
      <w:r>
        <w:rPr>
          <w:rFonts w:hint="eastAsia" w:ascii="宋体" w:hAnsi="宋体" w:eastAsia="宋体" w:cs="Times New Roman"/>
          <w:color w:val="auto"/>
          <w:szCs w:val="21"/>
        </w:rPr>
        <w:t>项目负责人简历表（须附相关证明材料）；项目实施人员一览表（须附职称证书复印件）；（如有）</w:t>
      </w:r>
    </w:p>
    <w:p w14:paraId="0B66C858">
      <w:pPr>
        <w:snapToGrid w:val="0"/>
        <w:spacing w:line="360" w:lineRule="auto"/>
        <w:ind w:firstLine="411" w:firstLineChars="196"/>
        <w:jc w:val="left"/>
        <w:rPr>
          <w:rFonts w:hint="eastAsia" w:ascii="宋体" w:hAnsi="宋体" w:eastAsia="宋体" w:cs="Times New Roman"/>
          <w:color w:val="auto"/>
          <w:szCs w:val="21"/>
        </w:rPr>
      </w:pPr>
      <w:r>
        <w:rPr>
          <w:rFonts w:ascii="宋体" w:hAnsi="宋体" w:eastAsia="宋体" w:cs="Times New Roman"/>
          <w:color w:val="auto"/>
          <w:szCs w:val="21"/>
        </w:rPr>
        <w:t>2.4</w:t>
      </w:r>
      <w:r>
        <w:rPr>
          <w:rFonts w:hint="eastAsia" w:ascii="宋体" w:hAnsi="宋体" w:eastAsia="宋体" w:cs="Times New Roman"/>
          <w:color w:val="auto"/>
          <w:szCs w:val="21"/>
        </w:rPr>
        <w:t>商务响应表；</w:t>
      </w:r>
    </w:p>
    <w:p w14:paraId="558CF2C1">
      <w:pPr>
        <w:snapToGrid w:val="0"/>
        <w:spacing w:line="360" w:lineRule="auto"/>
        <w:ind w:firstLine="411" w:firstLineChars="196"/>
        <w:jc w:val="left"/>
        <w:rPr>
          <w:rFonts w:ascii="宋体" w:hAnsi="Times New Roman" w:eastAsia="宋体" w:cs="Times New Roman"/>
          <w:color w:val="auto"/>
        </w:rPr>
      </w:pPr>
      <w:r>
        <w:rPr>
          <w:rFonts w:ascii="宋体" w:hAnsi="宋体" w:eastAsia="宋体" w:cs="Times New Roman"/>
          <w:color w:val="auto"/>
        </w:rPr>
        <w:t>2.5</w:t>
      </w:r>
      <w:r>
        <w:rPr>
          <w:rFonts w:hint="eastAsia" w:ascii="宋体" w:hAnsi="宋体" w:eastAsia="宋体" w:cs="Times New Roman"/>
          <w:color w:val="auto"/>
        </w:rPr>
        <w:t>对本项目总体要求的理解；</w:t>
      </w:r>
    </w:p>
    <w:p w14:paraId="49D840E8">
      <w:pPr>
        <w:snapToGrid w:val="0"/>
        <w:spacing w:line="360" w:lineRule="auto"/>
        <w:ind w:firstLine="411" w:firstLineChars="196"/>
        <w:jc w:val="left"/>
        <w:rPr>
          <w:rFonts w:hint="eastAsia" w:ascii="宋体" w:hAnsi="宋体" w:eastAsia="宋体" w:cs="Times New Roman"/>
          <w:color w:val="auto"/>
        </w:rPr>
      </w:pPr>
      <w:r>
        <w:rPr>
          <w:rFonts w:ascii="宋体" w:hAnsi="宋体" w:eastAsia="宋体" w:cs="Times New Roman"/>
          <w:color w:val="auto"/>
        </w:rPr>
        <w:t>2.6</w:t>
      </w:r>
      <w:r>
        <w:rPr>
          <w:rFonts w:hint="eastAsia" w:ascii="宋体" w:hAnsi="宋体" w:eastAsia="宋体" w:cs="Times New Roman"/>
          <w:color w:val="auto"/>
        </w:rPr>
        <w:t>项目总体架构及技术解决方案（包括</w:t>
      </w:r>
      <w:r>
        <w:rPr>
          <w:rFonts w:hint="eastAsia" w:ascii="宋体" w:hAnsi="宋体" w:eastAsia="宋体" w:cs="宋体"/>
          <w:color w:val="auto"/>
          <w:szCs w:val="21"/>
        </w:rPr>
        <w:t>功能说明、性能指标及设备选型说明</w:t>
      </w:r>
      <w:r>
        <w:rPr>
          <w:rFonts w:hint="eastAsia" w:ascii="宋体" w:hAnsi="宋体" w:eastAsia="宋体" w:cs="Times New Roman"/>
          <w:color w:val="auto"/>
        </w:rPr>
        <w:t>，安装调试、系统集成、试运行、测试、调优、应用开发培训、管理培训、维护服务项目等内容。本项目详细工作实施组织方案，包括</w:t>
      </w:r>
      <w:r>
        <w:rPr>
          <w:rFonts w:ascii="宋体" w:hAnsi="宋体" w:eastAsia="宋体" w:cs="Times New Roman"/>
          <w:color w:val="auto"/>
        </w:rPr>
        <w:t>(</w:t>
      </w:r>
      <w:r>
        <w:rPr>
          <w:rFonts w:hint="eastAsia" w:ascii="宋体" w:hAnsi="宋体" w:eastAsia="宋体" w:cs="Times New Roman"/>
          <w:color w:val="auto"/>
        </w:rPr>
        <w:t>但不限于</w:t>
      </w:r>
      <w:r>
        <w:rPr>
          <w:rFonts w:ascii="宋体" w:hAnsi="宋体" w:eastAsia="宋体" w:cs="Times New Roman"/>
          <w:color w:val="auto"/>
        </w:rPr>
        <w:t>)</w:t>
      </w:r>
      <w:r>
        <w:rPr>
          <w:rFonts w:hint="eastAsia" w:ascii="宋体" w:hAnsi="宋体" w:eastAsia="宋体" w:cs="Times New Roman"/>
          <w:color w:val="auto"/>
        </w:rPr>
        <w:t>以下内容：组织机构、工作时间进度表、工作程序和步骤、管理和协调方法、关键步骤的思路和要点。）</w:t>
      </w:r>
    </w:p>
    <w:p w14:paraId="575B25A9">
      <w:pPr>
        <w:snapToGrid w:val="0"/>
        <w:spacing w:line="360" w:lineRule="auto"/>
        <w:ind w:firstLine="411" w:firstLineChars="196"/>
        <w:jc w:val="left"/>
        <w:rPr>
          <w:rFonts w:ascii="宋体" w:hAnsi="Times New Roman" w:eastAsia="宋体" w:cs="Times New Roman"/>
          <w:color w:val="auto"/>
        </w:rPr>
      </w:pPr>
      <w:r>
        <w:rPr>
          <w:rFonts w:ascii="宋体" w:hAnsi="Times New Roman" w:eastAsia="宋体" w:cs="Times New Roman"/>
          <w:color w:val="auto"/>
        </w:rPr>
        <w:t>2.7</w:t>
      </w:r>
      <w:r>
        <w:rPr>
          <w:rFonts w:hint="eastAsia" w:ascii="宋体" w:hAnsi="Times New Roman" w:eastAsia="宋体" w:cs="Times New Roman"/>
          <w:color w:val="auto"/>
        </w:rPr>
        <w:t>产品出厂标准、质量检测报告</w:t>
      </w:r>
    </w:p>
    <w:p w14:paraId="7CC76671">
      <w:pPr>
        <w:snapToGrid w:val="0"/>
        <w:spacing w:line="360" w:lineRule="auto"/>
        <w:ind w:firstLine="411" w:firstLineChars="196"/>
        <w:jc w:val="left"/>
        <w:rPr>
          <w:rFonts w:ascii="宋体" w:hAnsi="Times New Roman" w:eastAsia="宋体" w:cs="Times New Roman"/>
          <w:color w:val="auto"/>
        </w:rPr>
      </w:pPr>
      <w:r>
        <w:rPr>
          <w:rFonts w:ascii="宋体" w:hAnsi="Times New Roman" w:eastAsia="宋体" w:cs="Times New Roman"/>
          <w:color w:val="auto"/>
        </w:rPr>
        <w:t>2.8</w:t>
      </w:r>
      <w:r>
        <w:rPr>
          <w:rFonts w:hint="eastAsia" w:ascii="宋体" w:hAnsi="Times New Roman" w:eastAsia="宋体" w:cs="Times New Roman"/>
          <w:color w:val="auto"/>
        </w:rPr>
        <w:t>设备配置清单（包括型号、品牌、数量）</w:t>
      </w:r>
    </w:p>
    <w:p w14:paraId="705CA7F9">
      <w:pPr>
        <w:snapToGrid w:val="0"/>
        <w:spacing w:line="360" w:lineRule="auto"/>
        <w:ind w:firstLine="411" w:firstLineChars="196"/>
        <w:jc w:val="left"/>
        <w:rPr>
          <w:rFonts w:hint="eastAsia" w:ascii="宋体" w:hAnsi="宋体" w:eastAsia="宋体" w:cs="Times New Roman"/>
          <w:color w:val="auto"/>
          <w:lang w:val="en-US" w:eastAsia="zh-CN"/>
        </w:rPr>
      </w:pPr>
      <w:r>
        <w:rPr>
          <w:rFonts w:ascii="宋体" w:hAnsi="宋体" w:eastAsia="宋体" w:cs="Times New Roman"/>
          <w:color w:val="auto"/>
        </w:rPr>
        <w:t>2.9</w:t>
      </w:r>
      <w:r>
        <w:rPr>
          <w:rFonts w:hint="eastAsia" w:ascii="宋体" w:hAnsi="宋体" w:eastAsia="宋体" w:cs="Times New Roman"/>
          <w:color w:val="auto"/>
        </w:rPr>
        <w:t>保证项目质量的技术力量及技术措施；</w:t>
      </w:r>
      <w:r>
        <w:rPr>
          <w:rFonts w:hint="eastAsia" w:ascii="宋体" w:hAnsi="Times New Roman" w:eastAsia="宋体" w:cs="Times New Roman"/>
          <w:color w:val="auto"/>
          <w:lang w:val="en-US" w:eastAsia="zh-CN"/>
        </w:rPr>
        <w:t xml:space="preserve"> </w:t>
      </w:r>
    </w:p>
    <w:p w14:paraId="088237A6">
      <w:pPr>
        <w:snapToGrid w:val="0"/>
        <w:spacing w:line="360" w:lineRule="auto"/>
        <w:ind w:firstLine="411" w:firstLineChars="196"/>
        <w:jc w:val="left"/>
        <w:rPr>
          <w:rFonts w:hint="eastAsia" w:ascii="宋体" w:hAnsi="宋体" w:eastAsia="宋体" w:cs="Times New Roman"/>
          <w:color w:val="auto"/>
        </w:rPr>
      </w:pPr>
      <w:r>
        <w:rPr>
          <w:rFonts w:ascii="宋体" w:hAnsi="宋体" w:eastAsia="宋体" w:cs="Times New Roman"/>
          <w:color w:val="auto"/>
        </w:rPr>
        <w:t>2.1</w:t>
      </w:r>
      <w:r>
        <w:rPr>
          <w:rFonts w:hint="eastAsia" w:ascii="宋体" w:hAnsi="宋体" w:eastAsia="宋体" w:cs="Times New Roman"/>
          <w:color w:val="auto"/>
          <w:lang w:val="en-US" w:eastAsia="zh-CN"/>
        </w:rPr>
        <w:t>0</w:t>
      </w:r>
      <w:r>
        <w:rPr>
          <w:rFonts w:hint="eastAsia" w:ascii="宋体" w:hAnsi="宋体" w:eastAsia="宋体" w:cs="Times New Roman"/>
          <w:color w:val="auto"/>
        </w:rPr>
        <w:t>技术服务、技术培训、售后服务的内容和措施；</w:t>
      </w:r>
    </w:p>
    <w:p w14:paraId="13D537E8">
      <w:pPr>
        <w:snapToGrid w:val="0"/>
        <w:spacing w:line="360" w:lineRule="auto"/>
        <w:ind w:firstLine="411" w:firstLineChars="196"/>
        <w:jc w:val="left"/>
        <w:rPr>
          <w:rFonts w:ascii="宋体" w:hAnsi="Times New Roman" w:eastAsia="宋体" w:cs="Times New Roman"/>
          <w:color w:val="auto"/>
        </w:rPr>
      </w:pPr>
      <w:r>
        <w:rPr>
          <w:rFonts w:ascii="宋体" w:hAnsi="Times New Roman" w:eastAsia="宋体" w:cs="Times New Roman"/>
          <w:color w:val="auto"/>
        </w:rPr>
        <w:t>2.1</w:t>
      </w:r>
      <w:r>
        <w:rPr>
          <w:rFonts w:hint="eastAsia" w:ascii="宋体" w:hAnsi="Times New Roman" w:eastAsia="宋体" w:cs="Times New Roman"/>
          <w:color w:val="auto"/>
          <w:lang w:val="en-US" w:eastAsia="zh-CN"/>
        </w:rPr>
        <w:t>1</w:t>
      </w:r>
      <w:r>
        <w:rPr>
          <w:rFonts w:hint="eastAsia" w:ascii="宋体" w:hAnsi="Times New Roman" w:eastAsia="宋体" w:cs="Times New Roman"/>
          <w:color w:val="auto"/>
        </w:rPr>
        <w:t>技术响应表（本次投标产品的技术参数是否与官网上公开的技术参数一致，如不一致，要求明确哪些参数不一致，不一致的原因以及使用何种技术可以达到投标产品参数。）</w:t>
      </w:r>
    </w:p>
    <w:p w14:paraId="221FE443">
      <w:pPr>
        <w:snapToGrid w:val="0"/>
        <w:spacing w:line="360" w:lineRule="auto"/>
        <w:ind w:firstLine="411" w:firstLineChars="196"/>
        <w:jc w:val="left"/>
        <w:rPr>
          <w:rFonts w:hint="eastAsia" w:ascii="宋体" w:hAnsi="Times New Roman" w:eastAsia="宋体" w:cs="Times New Roman"/>
          <w:color w:val="auto"/>
          <w:lang w:eastAsia="zh-CN"/>
        </w:rPr>
      </w:pPr>
      <w:r>
        <w:rPr>
          <w:rFonts w:ascii="宋体" w:hAnsi="宋体" w:eastAsia="宋体" w:cs="Times New Roman"/>
          <w:color w:val="auto"/>
        </w:rPr>
        <w:t>2.1</w:t>
      </w:r>
      <w:r>
        <w:rPr>
          <w:rFonts w:hint="eastAsia" w:ascii="宋体" w:hAnsi="宋体" w:eastAsia="宋体" w:cs="Times New Roman"/>
          <w:color w:val="auto"/>
          <w:lang w:val="en-US" w:eastAsia="zh-CN"/>
        </w:rPr>
        <w:t>2</w:t>
      </w:r>
      <w:r>
        <w:rPr>
          <w:rFonts w:hint="eastAsia" w:ascii="宋体" w:hAnsi="宋体" w:eastAsia="宋体" w:cs="Times New Roman"/>
          <w:color w:val="auto"/>
        </w:rPr>
        <w:t>优惠条件：投标人承诺给予招标人的各种优惠条件</w:t>
      </w:r>
      <w:r>
        <w:rPr>
          <w:rFonts w:hint="eastAsia" w:ascii="宋体" w:hAnsi="宋体" w:eastAsia="宋体" w:cs="Times New Roman"/>
          <w:color w:val="auto"/>
          <w:lang w:eastAsia="zh-CN"/>
        </w:rPr>
        <w:t>；</w:t>
      </w:r>
    </w:p>
    <w:p w14:paraId="56CB303C">
      <w:pPr>
        <w:snapToGrid w:val="0"/>
        <w:spacing w:line="360" w:lineRule="auto"/>
        <w:ind w:firstLine="411" w:firstLineChars="196"/>
        <w:jc w:val="left"/>
        <w:rPr>
          <w:rFonts w:hint="eastAsia" w:ascii="宋体" w:hAnsi="宋体" w:eastAsia="宋体" w:cs="Times New Roman"/>
          <w:bCs/>
          <w:color w:val="auto"/>
          <w:szCs w:val="21"/>
        </w:rPr>
      </w:pPr>
      <w:r>
        <w:rPr>
          <w:rFonts w:ascii="宋体" w:hAnsi="宋体" w:eastAsia="宋体" w:cs="Times New Roman"/>
          <w:color w:val="auto"/>
        </w:rPr>
        <w:t>2.1</w:t>
      </w:r>
      <w:r>
        <w:rPr>
          <w:rFonts w:hint="eastAsia" w:ascii="宋体" w:hAnsi="宋体" w:eastAsia="宋体" w:cs="Times New Roman"/>
          <w:color w:val="auto"/>
          <w:lang w:val="en-US" w:eastAsia="zh-CN"/>
        </w:rPr>
        <w:t>3</w:t>
      </w:r>
      <w:r>
        <w:rPr>
          <w:rFonts w:hint="eastAsia" w:ascii="宋体" w:hAnsi="宋体" w:eastAsia="宋体" w:cs="Times New Roman"/>
          <w:color w:val="auto"/>
        </w:rPr>
        <w:t>评分规则中涉及的所需提交的材料（如有），投标人需要说明的其他文件和说明（如有）</w:t>
      </w:r>
      <w:r>
        <w:rPr>
          <w:rFonts w:hint="eastAsia" w:ascii="宋体" w:hAnsi="宋体" w:eastAsia="宋体" w:cs="Times New Roman"/>
          <w:bCs/>
          <w:color w:val="auto"/>
          <w:szCs w:val="21"/>
        </w:rPr>
        <w:t>。</w:t>
      </w:r>
    </w:p>
    <w:p w14:paraId="4185DE43">
      <w:pPr>
        <w:snapToGrid w:val="0"/>
        <w:spacing w:line="360" w:lineRule="auto"/>
        <w:ind w:firstLine="413" w:firstLineChars="196"/>
        <w:jc w:val="left"/>
        <w:rPr>
          <w:rFonts w:hint="eastAsia" w:ascii="宋体" w:hAnsi="宋体" w:eastAsia="宋体" w:cs="Times New Roman"/>
          <w:b/>
          <w:color w:val="auto"/>
          <w:szCs w:val="21"/>
        </w:rPr>
      </w:pPr>
      <w:r>
        <w:rPr>
          <w:rFonts w:hint="eastAsia" w:ascii="宋体" w:hAnsi="宋体" w:eastAsia="宋体" w:cs="Times New Roman"/>
          <w:b/>
          <w:color w:val="auto"/>
          <w:szCs w:val="21"/>
        </w:rPr>
        <w:t>3.报价部分：</w:t>
      </w:r>
    </w:p>
    <w:p w14:paraId="396C561B">
      <w:pPr>
        <w:snapToGrid w:val="0"/>
        <w:spacing w:line="336" w:lineRule="auto"/>
        <w:ind w:firstLine="420" w:firstLineChars="200"/>
        <w:jc w:val="left"/>
        <w:rPr>
          <w:rFonts w:hint="eastAsia" w:ascii="宋体" w:hAnsi="宋体" w:eastAsia="宋体" w:cs="Times New Roman"/>
          <w:color w:val="auto"/>
          <w:szCs w:val="21"/>
        </w:rPr>
      </w:pPr>
      <w:r>
        <w:rPr>
          <w:rFonts w:hint="eastAsia" w:ascii="宋体" w:hAnsi="宋体" w:eastAsia="宋体" w:cs="Times New Roman"/>
          <w:color w:val="auto"/>
          <w:szCs w:val="21"/>
        </w:rPr>
        <w:t>3.1投标报价一览表；</w:t>
      </w:r>
    </w:p>
    <w:p w14:paraId="2981F4ED">
      <w:pPr>
        <w:tabs>
          <w:tab w:val="left" w:pos="3870"/>
          <w:tab w:val="left" w:pos="4085"/>
        </w:tabs>
        <w:snapToGrid w:val="0"/>
        <w:spacing w:line="336" w:lineRule="auto"/>
        <w:ind w:firstLine="420" w:firstLineChars="200"/>
        <w:jc w:val="left"/>
        <w:rPr>
          <w:rFonts w:hint="eastAsia" w:ascii="宋体" w:hAnsi="宋体" w:eastAsia="宋体" w:cs="Times New Roman"/>
          <w:color w:val="auto"/>
          <w:szCs w:val="21"/>
        </w:rPr>
      </w:pPr>
      <w:r>
        <w:rPr>
          <w:rFonts w:hint="eastAsia" w:ascii="宋体" w:hAnsi="宋体" w:eastAsia="宋体" w:cs="Times New Roman"/>
          <w:color w:val="auto"/>
          <w:szCs w:val="21"/>
        </w:rPr>
        <w:t>3.2报价明细表；</w:t>
      </w:r>
    </w:p>
    <w:p w14:paraId="3BBE0AE7">
      <w:pPr>
        <w:snapToGrid w:val="0"/>
        <w:spacing w:line="336" w:lineRule="auto"/>
        <w:ind w:firstLine="420" w:firstLineChars="200"/>
        <w:jc w:val="left"/>
        <w:rPr>
          <w:rFonts w:hint="eastAsia" w:ascii="宋体" w:hAnsi="宋体" w:eastAsia="宋体" w:cs="Times New Roman"/>
          <w:color w:val="auto"/>
          <w:szCs w:val="21"/>
        </w:rPr>
      </w:pPr>
      <w:r>
        <w:rPr>
          <w:rFonts w:hint="eastAsia" w:ascii="宋体" w:hAnsi="宋体" w:eastAsia="宋体" w:cs="Times New Roman"/>
          <w:color w:val="auto"/>
          <w:szCs w:val="21"/>
        </w:rPr>
        <w:t>3.3投标人针对报价需要说明的其他文件和说明。</w:t>
      </w:r>
    </w:p>
    <w:p w14:paraId="37F75903">
      <w:pPr>
        <w:snapToGrid w:val="0"/>
        <w:spacing w:line="360" w:lineRule="auto"/>
        <w:ind w:right="55"/>
        <w:jc w:val="left"/>
        <w:outlineLvl w:val="0"/>
        <w:rPr>
          <w:rFonts w:ascii="Times New Roman" w:hAnsi="Times New Roman" w:eastAsia="宋体" w:cs="Times New Roman"/>
          <w:b/>
          <w:color w:val="auto"/>
          <w:sz w:val="24"/>
        </w:rPr>
      </w:pPr>
      <w:r>
        <w:rPr>
          <w:rFonts w:hint="eastAsia" w:ascii="Times New Roman" w:hAnsi="Times New Roman" w:eastAsia="宋体" w:cs="Times New Roman"/>
          <w:b/>
          <w:color w:val="auto"/>
          <w:szCs w:val="21"/>
        </w:rPr>
        <w:t>（二）投标文件的语言及计量</w:t>
      </w:r>
    </w:p>
    <w:p w14:paraId="4B176D9D">
      <w:pPr>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投标文件以及投标人与采购人就有关投标事宜的所有来往函电，均应以中文汉语书写。除签名、盖章、专用名称等特殊情形外，以中文汉语以外的文字表述的投标文件视同未提供。</w:t>
      </w:r>
    </w:p>
    <w:p w14:paraId="7635349D">
      <w:pPr>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投标计量单位，采购文件已有明确规定的，使用采购文件规定的计量单位；采购文件没有规定的，应采用中华人民共和国法定计量单位（货币单位：人民币元），否则视同未响应。</w:t>
      </w:r>
    </w:p>
    <w:p w14:paraId="110FDCCF">
      <w:pPr>
        <w:tabs>
          <w:tab w:val="left" w:pos="0"/>
        </w:tabs>
        <w:spacing w:line="360" w:lineRule="auto"/>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（三）响应报价</w:t>
      </w:r>
    </w:p>
    <w:p w14:paraId="0E386CAF">
      <w:pPr>
        <w:snapToGrid w:val="0"/>
        <w:spacing w:line="360" w:lineRule="auto"/>
        <w:ind w:firstLine="422" w:firstLineChars="200"/>
        <w:rPr>
          <w:rFonts w:ascii="Times New Roman" w:hAnsi="Times New Roman" w:eastAsia="宋体" w:cs="Times New Roman"/>
          <w:b/>
          <w:bCs/>
          <w:color w:val="auto"/>
          <w:szCs w:val="21"/>
        </w:rPr>
      </w:pPr>
      <w:r>
        <w:rPr>
          <w:rFonts w:ascii="Times New Roman" w:hAnsi="Times New Roman" w:eastAsia="宋体" w:cs="Times New Roman"/>
          <w:b/>
          <w:bCs/>
          <w:color w:val="auto"/>
          <w:szCs w:val="21"/>
        </w:rPr>
        <w:t>1.</w:t>
      </w:r>
      <w:r>
        <w:rPr>
          <w:rFonts w:hint="eastAsia" w:ascii="Times New Roman" w:hAnsi="Times New Roman" w:eastAsia="宋体" w:cs="Times New Roman"/>
          <w:b/>
          <w:bCs/>
          <w:color w:val="auto"/>
          <w:szCs w:val="21"/>
        </w:rPr>
        <w:t>投标报价应以人民币报价，投标人报价应是包括为完成本项目服务、设备供应可能发生的全部费用及中标人的利润和应交纳的税金等一切费用。</w:t>
      </w:r>
    </w:p>
    <w:p w14:paraId="6FD40819">
      <w:pPr>
        <w:spacing w:line="360" w:lineRule="auto"/>
        <w:ind w:firstLine="420"/>
        <w:rPr>
          <w:rFonts w:ascii="Times New Roman" w:hAnsi="Times New Roman" w:eastAsia="宋体" w:cs="Times New Roman"/>
          <w:color w:val="auto"/>
        </w:rPr>
      </w:pPr>
      <w:r>
        <w:rPr>
          <w:rFonts w:ascii="Times New Roman" w:hAnsi="Times New Roman" w:eastAsia="宋体" w:cs="Times New Roman"/>
          <w:b/>
          <w:bCs/>
          <w:color w:val="auto"/>
          <w:szCs w:val="21"/>
        </w:rPr>
        <w:t>2.</w:t>
      </w:r>
      <w:r>
        <w:rPr>
          <w:rFonts w:hint="eastAsia" w:ascii="Times New Roman" w:hAnsi="Times New Roman" w:eastAsia="宋体" w:cs="Times New Roman"/>
          <w:b/>
          <w:bCs/>
          <w:color w:val="auto"/>
          <w:szCs w:val="21"/>
        </w:rPr>
        <w:t>投标文件针对同一内容只允许有一个报价，有选择的或有条件的报价将不予接受。</w:t>
      </w:r>
    </w:p>
    <w:p w14:paraId="1BA1DB16">
      <w:pPr>
        <w:snapToGrid w:val="0"/>
        <w:spacing w:line="360" w:lineRule="auto"/>
        <w:jc w:val="left"/>
        <w:outlineLvl w:val="0"/>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（四）投标文件的有效期</w:t>
      </w:r>
    </w:p>
    <w:p w14:paraId="4D5C9F6C">
      <w:pPr>
        <w:tabs>
          <w:tab w:val="left" w:pos="360"/>
          <w:tab w:val="left" w:pos="454"/>
          <w:tab w:val="left" w:pos="720"/>
          <w:tab w:val="left" w:pos="900"/>
        </w:tabs>
        <w:snapToGrid w:val="0"/>
        <w:spacing w:line="360" w:lineRule="auto"/>
        <w:ind w:right="-506" w:rightChars="-241" w:firstLine="420" w:firstLineChars="200"/>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自投标截止日起</w:t>
      </w:r>
      <w:r>
        <w:rPr>
          <w:rFonts w:ascii="Times New Roman" w:hAnsi="Times New Roman" w:eastAsia="宋体" w:cs="Times New Roman"/>
          <w:b/>
          <w:color w:val="auto"/>
          <w:u w:val="single"/>
        </w:rPr>
        <w:t>90</w:t>
      </w:r>
      <w:r>
        <w:rPr>
          <w:rFonts w:hint="eastAsia" w:ascii="Times New Roman" w:hAnsi="Times New Roman" w:eastAsia="宋体" w:cs="Times New Roman"/>
          <w:b/>
          <w:color w:val="auto"/>
        </w:rPr>
        <w:t>天</w:t>
      </w:r>
      <w:r>
        <w:rPr>
          <w:rFonts w:hint="eastAsia" w:ascii="Times New Roman" w:hAnsi="Times New Roman" w:eastAsia="宋体" w:cs="Times New Roman"/>
          <w:color w:val="auto"/>
        </w:rPr>
        <w:t>投标文件应保持有效。有效期不足的投标文件将被拒绝。</w:t>
      </w:r>
    </w:p>
    <w:p w14:paraId="71BC72E7">
      <w:pPr>
        <w:snapToGrid w:val="0"/>
        <w:spacing w:line="360" w:lineRule="auto"/>
        <w:ind w:right="-86" w:rightChars="-41" w:firstLine="420" w:firstLineChars="200"/>
        <w:jc w:val="left"/>
        <w:outlineLvl w:val="0"/>
        <w:rPr>
          <w:rFonts w:ascii="Times New Roman" w:hAnsi="Times New Roman" w:eastAsia="宋体" w:cs="Times New Roman"/>
          <w:color w:val="auto"/>
        </w:rPr>
      </w:pPr>
      <w:r>
        <w:rPr>
          <w:rFonts w:ascii="Times New Roman" w:hAnsi="Times New Roman" w:eastAsia="宋体" w:cs="Times New Roman"/>
          <w:color w:val="auto"/>
        </w:rPr>
        <w:t>2.</w:t>
      </w:r>
      <w:r>
        <w:rPr>
          <w:rFonts w:hint="eastAsia" w:ascii="Times New Roman" w:hAnsi="Times New Roman" w:eastAsia="宋体" w:cs="Times New Roman"/>
          <w:color w:val="auto"/>
        </w:rPr>
        <w:t>在特殊情况下，采购人可与投标人协商延长投标书的有效期，这种要求和答复均以书面形式进行。</w:t>
      </w:r>
    </w:p>
    <w:p w14:paraId="1FCE9FDE">
      <w:pPr>
        <w:snapToGrid w:val="0"/>
        <w:spacing w:line="360" w:lineRule="auto"/>
        <w:ind w:right="55" w:firstLine="420" w:firstLineChars="200"/>
        <w:jc w:val="left"/>
        <w:outlineLvl w:val="0"/>
        <w:rPr>
          <w:rFonts w:ascii="Times New Roman" w:hAnsi="Times New Roman" w:eastAsia="宋体" w:cs="Times New Roman"/>
          <w:color w:val="auto"/>
        </w:rPr>
      </w:pPr>
      <w:r>
        <w:rPr>
          <w:rFonts w:ascii="Times New Roman" w:hAnsi="Times New Roman" w:eastAsia="宋体" w:cs="Times New Roman"/>
          <w:color w:val="auto"/>
        </w:rPr>
        <w:t>3.</w:t>
      </w:r>
      <w:r>
        <w:rPr>
          <w:rFonts w:hint="eastAsia" w:ascii="Times New Roman" w:hAnsi="Times New Roman" w:eastAsia="宋体" w:cs="Times New Roman"/>
          <w:color w:val="auto"/>
        </w:rPr>
        <w:t>中标人的投标文件自开标之日起至合同履行完毕止均应保持有效。</w:t>
      </w:r>
    </w:p>
    <w:p w14:paraId="29EECC5D">
      <w:pPr>
        <w:snapToGrid w:val="0"/>
        <w:spacing w:line="360" w:lineRule="auto"/>
        <w:jc w:val="left"/>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（五）投标文件的包装、递交、修改和撤回</w:t>
      </w:r>
    </w:p>
    <w:p w14:paraId="192F94A1">
      <w:pPr>
        <w:snapToGrid w:val="0"/>
        <w:spacing w:line="360" w:lineRule="auto"/>
        <w:ind w:right="-86" w:rightChars="-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投标人应当在投标截止时间前完成电子投标文件的传输递交，并可以补充、修改或者撤回电子投标文件。补充或者修改电子投标文件的，应当先行撤回原文件，补充、修改后重新传输递交。投标截止时间前未完成传输的，视为撤回投标文件。投标、响应截止时间后送达的投标、响应文件，将被政采云平台拒收。</w:t>
      </w:r>
    </w:p>
    <w:p w14:paraId="11429FBF">
      <w:pPr>
        <w:snapToGrid w:val="0"/>
        <w:spacing w:line="360" w:lineRule="auto"/>
        <w:ind w:right="-86" w:rightChars="-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2.</w:t>
      </w:r>
      <w:r>
        <w:rPr>
          <w:rFonts w:hint="eastAsia" w:ascii="Times New Roman" w:hAnsi="Times New Roman" w:eastAsia="宋体" w:cs="Times New Roman"/>
          <w:color w:val="auto"/>
        </w:rPr>
        <w:t>投标人应当在投标截止时间前将以介质存储的数据电文形式的备份投标文件</w:t>
      </w:r>
      <w:r>
        <w:rPr>
          <w:rFonts w:hint="eastAsia" w:ascii="Times New Roman" w:hAnsi="Times New Roman" w:eastAsia="宋体" w:cs="Times New Roman"/>
          <w:color w:val="auto"/>
          <w:szCs w:val="21"/>
        </w:rPr>
        <w:t>寄到或送达采购代理公司。地址：舟山市定海区昌国路</w:t>
      </w:r>
      <w:r>
        <w:rPr>
          <w:rFonts w:ascii="Times New Roman" w:hAnsi="Times New Roman" w:eastAsia="宋体" w:cs="Times New Roman"/>
          <w:color w:val="auto"/>
          <w:szCs w:val="21"/>
        </w:rPr>
        <w:t>232</w:t>
      </w:r>
      <w:r>
        <w:rPr>
          <w:rFonts w:hint="eastAsia" w:ascii="Times New Roman" w:hAnsi="Times New Roman" w:eastAsia="宋体" w:cs="Times New Roman"/>
          <w:color w:val="auto"/>
          <w:szCs w:val="21"/>
        </w:rPr>
        <w:t>号中楼</w:t>
      </w:r>
      <w:r>
        <w:rPr>
          <w:rFonts w:ascii="Times New Roman" w:hAnsi="Times New Roman" w:eastAsia="宋体" w:cs="Times New Roman"/>
          <w:color w:val="auto"/>
          <w:szCs w:val="21"/>
        </w:rPr>
        <w:t>202</w:t>
      </w:r>
      <w:r>
        <w:rPr>
          <w:rFonts w:hint="eastAsia" w:ascii="Times New Roman" w:hAnsi="Times New Roman" w:eastAsia="宋体" w:cs="Times New Roman"/>
          <w:color w:val="auto"/>
          <w:szCs w:val="21"/>
        </w:rPr>
        <w:t>深圳市国信招标有限公司舟山分公司。也可现场递交。</w:t>
      </w:r>
      <w:r>
        <w:rPr>
          <w:rFonts w:hint="eastAsia" w:ascii="Times New Roman" w:hAnsi="Times New Roman" w:eastAsia="宋体" w:cs="Times New Roman"/>
          <w:color w:val="auto"/>
        </w:rPr>
        <w:t>逾期送达或未密封将被拒收。</w:t>
      </w:r>
    </w:p>
    <w:p w14:paraId="4A237A23">
      <w:pPr>
        <w:snapToGrid w:val="0"/>
        <w:spacing w:line="360" w:lineRule="auto"/>
        <w:ind w:right="-86" w:rightChars="-41" w:firstLine="422" w:firstLineChars="200"/>
        <w:jc w:val="left"/>
        <w:rPr>
          <w:rFonts w:ascii="Times New Roman" w:hAnsi="Times New Roman" w:eastAsia="宋体" w:cs="Times New Roman"/>
          <w:color w:val="auto"/>
        </w:rPr>
      </w:pPr>
      <w:r>
        <w:rPr>
          <w:rFonts w:hint="eastAsia" w:ascii="Times New Roman" w:hAnsi="Times New Roman" w:eastAsia="宋体" w:cs="Times New Roman"/>
          <w:b/>
          <w:color w:val="auto"/>
          <w:szCs w:val="21"/>
        </w:rPr>
        <w:t>投标人可以不提供备份投标文件，造成项目开评标活动无法进行下去的，投标无效，相关风险由投标人自行承担</w:t>
      </w:r>
    </w:p>
    <w:p w14:paraId="09F13890">
      <w:pPr>
        <w:snapToGrid w:val="0"/>
        <w:spacing w:line="360" w:lineRule="auto"/>
        <w:ind w:right="-86" w:rightChars="-41"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投标人递交以介质存储的数据电文形式的备份投标文件时，如出现下列情况之一的，将被拒收：</w:t>
      </w:r>
    </w:p>
    <w:p w14:paraId="322138AA">
      <w:pPr>
        <w:snapToGrid w:val="0"/>
        <w:spacing w:line="360" w:lineRule="auto"/>
        <w:ind w:right="-86" w:rightChars="-41"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w:t>
      </w:r>
      <w:r>
        <w:rPr>
          <w:rFonts w:ascii="Times New Roman" w:hAnsi="Times New Roman" w:eastAsia="宋体" w:cs="Times New Roman"/>
          <w:color w:val="auto"/>
        </w:rPr>
        <w:t>1</w:t>
      </w:r>
      <w:r>
        <w:rPr>
          <w:rFonts w:hint="eastAsia" w:ascii="Times New Roman" w:hAnsi="Times New Roman" w:eastAsia="宋体" w:cs="Times New Roman"/>
          <w:color w:val="auto"/>
        </w:rPr>
        <w:t>）未按规定密封或标记的投标文件；</w:t>
      </w:r>
    </w:p>
    <w:p w14:paraId="72A9CDEB">
      <w:pPr>
        <w:snapToGrid w:val="0"/>
        <w:spacing w:line="360" w:lineRule="auto"/>
        <w:ind w:right="-86" w:rightChars="-41"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w:t>
      </w:r>
      <w:r>
        <w:rPr>
          <w:rFonts w:ascii="Times New Roman" w:hAnsi="Times New Roman" w:eastAsia="宋体" w:cs="Times New Roman"/>
          <w:color w:val="auto"/>
        </w:rPr>
        <w:t>2</w:t>
      </w:r>
      <w:r>
        <w:rPr>
          <w:rFonts w:hint="eastAsia" w:ascii="Times New Roman" w:hAnsi="Times New Roman" w:eastAsia="宋体" w:cs="Times New Roman"/>
          <w:color w:val="auto"/>
        </w:rPr>
        <w:t>）由于包装不妥，在送交途中严重破损或失散的；</w:t>
      </w:r>
    </w:p>
    <w:p w14:paraId="46F6CE3D">
      <w:pPr>
        <w:snapToGrid w:val="0"/>
        <w:spacing w:line="360" w:lineRule="auto"/>
        <w:ind w:right="-86" w:rightChars="-41"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w:t>
      </w:r>
      <w:r>
        <w:rPr>
          <w:rFonts w:ascii="Times New Roman" w:hAnsi="Times New Roman" w:eastAsia="宋体" w:cs="Times New Roman"/>
          <w:color w:val="auto"/>
        </w:rPr>
        <w:t>3</w:t>
      </w:r>
      <w:r>
        <w:rPr>
          <w:rFonts w:hint="eastAsia" w:ascii="Times New Roman" w:hAnsi="Times New Roman" w:eastAsia="宋体" w:cs="Times New Roman"/>
          <w:color w:val="auto"/>
        </w:rPr>
        <w:t>）未成功办理投标人报名手续的；</w:t>
      </w:r>
    </w:p>
    <w:p w14:paraId="6E678530">
      <w:pPr>
        <w:snapToGrid w:val="0"/>
        <w:spacing w:line="360" w:lineRule="auto"/>
        <w:ind w:right="-86" w:rightChars="-41"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w:t>
      </w:r>
      <w:r>
        <w:rPr>
          <w:rFonts w:ascii="Times New Roman" w:hAnsi="Times New Roman" w:eastAsia="宋体" w:cs="Times New Roman"/>
          <w:color w:val="auto"/>
        </w:rPr>
        <w:t>4</w:t>
      </w:r>
      <w:r>
        <w:rPr>
          <w:rFonts w:hint="eastAsia" w:ascii="Times New Roman" w:hAnsi="Times New Roman" w:eastAsia="宋体" w:cs="Times New Roman"/>
          <w:color w:val="auto"/>
        </w:rPr>
        <w:t>）超过投标截止时间送达的；</w:t>
      </w:r>
    </w:p>
    <w:p w14:paraId="613A3DC7">
      <w:pPr>
        <w:snapToGrid w:val="0"/>
        <w:spacing w:line="360" w:lineRule="auto"/>
        <w:ind w:right="-86" w:rightChars="-41" w:firstLine="420" w:firstLineChars="200"/>
        <w:jc w:val="left"/>
        <w:rPr>
          <w:rFonts w:ascii="Times New Roman" w:hAnsi="Times New Roman" w:eastAsia="宋体" w:cs="Times New Roman"/>
          <w:color w:val="auto"/>
        </w:rPr>
      </w:pPr>
      <w:r>
        <w:rPr>
          <w:rFonts w:hint="eastAsia" w:ascii="Times New Roman" w:hAnsi="Times New Roman" w:eastAsia="宋体" w:cs="Times New Roman"/>
          <w:color w:val="auto"/>
        </w:rPr>
        <w:t>仅提供备份投标文件的，投标无效。</w:t>
      </w:r>
    </w:p>
    <w:p w14:paraId="6BC04419">
      <w:pPr>
        <w:snapToGrid w:val="0"/>
        <w:spacing w:line="360" w:lineRule="auto"/>
        <w:ind w:right="-86" w:rightChars="-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3.</w:t>
      </w:r>
      <w:r>
        <w:rPr>
          <w:rFonts w:hint="eastAsia" w:ascii="Times New Roman" w:hAnsi="Times New Roman" w:eastAsia="宋体" w:cs="Times New Roman"/>
          <w:color w:val="auto"/>
        </w:rPr>
        <w:t>投标、响应文件未按时解密，供应商提供了备份投标、响应文件的，以备份投标、响应文件作为依据，否则视为投标、响应文件撤回。投标、响应文件已按时解密的，备份投标、响应文件自动失效。</w:t>
      </w:r>
    </w:p>
    <w:p w14:paraId="0C6F204A">
      <w:pPr>
        <w:snapToGrid w:val="0"/>
        <w:spacing w:line="360" w:lineRule="auto"/>
        <w:ind w:right="-86" w:rightChars="-41" w:firstLine="420" w:firstLineChars="200"/>
        <w:jc w:val="left"/>
        <w:rPr>
          <w:rFonts w:ascii="Times New Roman" w:hAnsi="Times New Roman" w:eastAsia="宋体" w:cs="Times New Roman"/>
          <w:color w:val="auto"/>
        </w:rPr>
      </w:pPr>
      <w:r>
        <w:rPr>
          <w:rFonts w:ascii="Times New Roman" w:hAnsi="Times New Roman" w:eastAsia="宋体" w:cs="Times New Roman"/>
          <w:color w:val="auto"/>
        </w:rPr>
        <w:t>4.</w:t>
      </w:r>
      <w:r>
        <w:rPr>
          <w:rFonts w:hint="eastAsia" w:ascii="Times New Roman" w:hAnsi="Times New Roman" w:eastAsia="宋体" w:cs="Times New Roman"/>
          <w:color w:val="auto"/>
        </w:rPr>
        <w:t>备份投标文件须密封封装。包装封面上应注明投标人名称，封口处加盖投标人公章。</w:t>
      </w:r>
    </w:p>
    <w:p w14:paraId="6C929291">
      <w:pPr>
        <w:keepNext w:val="0"/>
        <w:keepLines w:val="0"/>
        <w:pageBreakBefore w:val="0"/>
        <w:widowControl w:val="0"/>
        <w:kinsoku/>
        <w:wordWrap/>
        <w:overflowPunct/>
        <w:topLinePunct w:val="0"/>
        <w:autoSpaceDE/>
        <w:autoSpaceDN/>
        <w:bidi w:val="0"/>
        <w:adjustRightInd/>
        <w:spacing w:line="360" w:lineRule="auto"/>
        <w:ind w:right="0" w:rightChars="0"/>
        <w:textAlignment w:val="auto"/>
        <w:rPr>
          <w:rFonts w:ascii="Times New Roman" w:hAnsi="Times New Roman" w:eastAsia="宋体" w:cs="Times New Roman"/>
          <w:color w:val="auto"/>
        </w:rPr>
      </w:pPr>
      <w:r>
        <w:rPr>
          <w:rFonts w:hint="eastAsia" w:ascii="Times New Roman" w:hAnsi="Times New Roman" w:eastAsia="宋体" w:cs="Times New Roman"/>
          <w:b/>
          <w:color w:val="auto"/>
          <w:szCs w:val="21"/>
        </w:rPr>
        <w:t>（六）投标无效的情形</w:t>
      </w:r>
    </w:p>
    <w:p w14:paraId="2FCF3D5B">
      <w:pPr>
        <w:keepNext w:val="0"/>
        <w:keepLines w:val="0"/>
        <w:pageBreakBefore w:val="0"/>
        <w:widowControl w:val="0"/>
        <w:kinsoku/>
        <w:wordWrap/>
        <w:overflowPunct/>
        <w:topLinePunct w:val="0"/>
        <w:autoSpaceDE/>
        <w:autoSpaceDN/>
        <w:bidi w:val="0"/>
        <w:adjustRightInd/>
        <w:snapToGrid w:val="0"/>
        <w:spacing w:line="360" w:lineRule="auto"/>
        <w:ind w:right="0" w:rightChars="0" w:firstLine="415" w:firstLineChars="198"/>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实质上没有响应采购文件要求的投标将被视为无效投标。投标人不得通过修正或撤销不合要求的偏离或保留从而使其投标成为实质上响应的投标。经评标委员会认定属于投标人疏忽、笔误所造成的差错，应当允许其在评标结束之前进行修改或者补正（评审小组和投标人通过电子交易平台交换数据电文）。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14:paraId="5403C194">
      <w:pPr>
        <w:keepNext w:val="0"/>
        <w:keepLines w:val="0"/>
        <w:pageBreakBefore w:val="0"/>
        <w:widowControl w:val="0"/>
        <w:kinsoku/>
        <w:wordWrap/>
        <w:overflowPunct/>
        <w:topLinePunct w:val="0"/>
        <w:autoSpaceDE/>
        <w:autoSpaceDN/>
        <w:bidi w:val="0"/>
        <w:adjustRightInd/>
        <w:snapToGrid w:val="0"/>
        <w:spacing w:line="360" w:lineRule="auto"/>
        <w:ind w:right="0" w:rightChars="0" w:firstLine="417" w:firstLineChars="198"/>
        <w:textAlignment w:val="auto"/>
        <w:rPr>
          <w:rFonts w:ascii="Times New Roman" w:hAnsi="Times New Roman" w:eastAsia="宋体" w:cs="Times New Roman"/>
          <w:color w:val="auto"/>
          <w:szCs w:val="21"/>
        </w:rPr>
      </w:pPr>
      <w:r>
        <w:rPr>
          <w:rFonts w:ascii="Times New Roman" w:hAnsi="Times New Roman" w:eastAsia="宋体" w:cs="Times New Roman"/>
          <w:b/>
          <w:bCs/>
          <w:color w:val="auto"/>
          <w:szCs w:val="21"/>
        </w:rPr>
        <w:t>1.</w:t>
      </w:r>
      <w:r>
        <w:rPr>
          <w:rFonts w:hint="eastAsia" w:ascii="Times New Roman" w:hAnsi="Times New Roman" w:eastAsia="宋体" w:cs="Times New Roman"/>
          <w:b/>
          <w:bCs/>
          <w:color w:val="auto"/>
          <w:szCs w:val="21"/>
        </w:rPr>
        <w:t>在符合性审查和商务评审时，如发现下列情形之一且无法作出合理解释的的，投标文件将被视为无效投标：</w:t>
      </w:r>
    </w:p>
    <w:p w14:paraId="23DEBC25">
      <w:pPr>
        <w:keepNext w:val="0"/>
        <w:keepLines w:val="0"/>
        <w:pageBreakBefore w:val="0"/>
        <w:widowControl w:val="0"/>
        <w:kinsoku/>
        <w:wordWrap/>
        <w:overflowPunct/>
        <w:topLinePunct w:val="0"/>
        <w:autoSpaceDE/>
        <w:autoSpaceDN/>
        <w:bidi w:val="0"/>
        <w:adjustRightInd/>
        <w:snapToGrid w:val="0"/>
        <w:spacing w:line="360" w:lineRule="auto"/>
        <w:ind w:right="0" w:rightChars="0" w:firstLine="415" w:firstLineChars="198"/>
        <w:textAlignment w:val="auto"/>
        <w:rPr>
          <w:rFonts w:ascii="Times New Roman" w:hAnsi="Times New Roman" w:eastAsia="宋体" w:cs="Times New Roman"/>
          <w:bCs/>
          <w:color w:val="auto"/>
          <w:szCs w:val="21"/>
        </w:rPr>
      </w:pPr>
      <w:r>
        <w:rPr>
          <w:rFonts w:ascii="Times New Roman" w:hAnsi="Times New Roman" w:eastAsia="宋体" w:cs="Times New Roman"/>
          <w:bCs/>
          <w:color w:val="auto"/>
          <w:szCs w:val="21"/>
        </w:rPr>
        <w:t>1.1</w:t>
      </w:r>
      <w:r>
        <w:rPr>
          <w:rFonts w:hint="eastAsia" w:ascii="Times New Roman" w:hAnsi="Times New Roman" w:eastAsia="宋体" w:cs="Times New Roman"/>
          <w:color w:val="auto"/>
          <w:szCs w:val="21"/>
        </w:rPr>
        <w:t>资格证明文件不全的，或者不符合采购文件标明的资格要求的</w:t>
      </w:r>
      <w:r>
        <w:rPr>
          <w:rFonts w:hint="eastAsia" w:ascii="Times New Roman" w:hAnsi="Times New Roman" w:eastAsia="宋体" w:cs="Times New Roman"/>
          <w:bCs/>
          <w:color w:val="auto"/>
          <w:szCs w:val="21"/>
        </w:rPr>
        <w:t>；</w:t>
      </w:r>
    </w:p>
    <w:p w14:paraId="5F774CA6">
      <w:pPr>
        <w:keepNext w:val="0"/>
        <w:keepLines w:val="0"/>
        <w:pageBreakBefore w:val="0"/>
        <w:widowControl w:val="0"/>
        <w:kinsoku/>
        <w:wordWrap/>
        <w:overflowPunct/>
        <w:topLinePunct w:val="0"/>
        <w:autoSpaceDE/>
        <w:autoSpaceDN/>
        <w:bidi w:val="0"/>
        <w:adjustRightInd/>
        <w:snapToGrid w:val="0"/>
        <w:spacing w:line="360" w:lineRule="auto"/>
        <w:ind w:right="0" w:rightChars="0" w:firstLine="415" w:firstLineChars="198"/>
        <w:textAlignment w:val="auto"/>
        <w:rPr>
          <w:rFonts w:ascii="Times New Roman" w:hAnsi="Times New Roman" w:eastAsia="宋体" w:cs="Times New Roman"/>
          <w:bCs/>
          <w:color w:val="auto"/>
          <w:szCs w:val="21"/>
        </w:rPr>
      </w:pPr>
      <w:r>
        <w:rPr>
          <w:rFonts w:ascii="Times New Roman" w:hAnsi="Times New Roman" w:eastAsia="宋体" w:cs="Times New Roman"/>
          <w:bCs/>
          <w:color w:val="auto"/>
          <w:szCs w:val="21"/>
        </w:rPr>
        <w:t>1.</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投标文件组成不全的；</w:t>
      </w:r>
    </w:p>
    <w:p w14:paraId="161AA2B9">
      <w:pPr>
        <w:keepNext w:val="0"/>
        <w:keepLines w:val="0"/>
        <w:pageBreakBefore w:val="0"/>
        <w:widowControl w:val="0"/>
        <w:kinsoku/>
        <w:wordWrap/>
        <w:overflowPunct/>
        <w:topLinePunct w:val="0"/>
        <w:autoSpaceDE/>
        <w:autoSpaceDN/>
        <w:bidi w:val="0"/>
        <w:adjustRightInd/>
        <w:snapToGrid w:val="0"/>
        <w:spacing w:line="360" w:lineRule="auto"/>
        <w:ind w:right="0" w:rightChars="0" w:firstLine="415" w:firstLineChars="198"/>
        <w:textAlignment w:val="auto"/>
        <w:rPr>
          <w:rFonts w:ascii="Times New Roman" w:hAnsi="Times New Roman" w:eastAsia="宋体" w:cs="Times New Roman"/>
          <w:bCs/>
          <w:color w:val="auto"/>
          <w:szCs w:val="21"/>
        </w:rPr>
      </w:pPr>
      <w:r>
        <w:rPr>
          <w:rFonts w:ascii="Times New Roman" w:hAnsi="Times New Roman" w:eastAsia="宋体" w:cs="Times New Roman"/>
          <w:bCs/>
          <w:color w:val="auto"/>
          <w:szCs w:val="21"/>
        </w:rPr>
        <w:t>1.3</w:t>
      </w:r>
      <w:r>
        <w:rPr>
          <w:rFonts w:hint="eastAsia" w:ascii="Times New Roman" w:hAnsi="Times New Roman" w:eastAsia="宋体" w:cs="Times New Roman"/>
          <w:bCs/>
          <w:color w:val="auto"/>
          <w:szCs w:val="21"/>
        </w:rPr>
        <w:t>投标文件的实质性内容未使用中文表述、意思表述不明确、前后矛盾或者使用计量单位不符合采购文件要求的；（</w:t>
      </w:r>
      <w:r>
        <w:rPr>
          <w:rFonts w:hint="eastAsia" w:ascii="Times New Roman" w:hAnsi="Times New Roman" w:eastAsia="宋体" w:cs="Times New Roman"/>
          <w:color w:val="auto"/>
          <w:szCs w:val="21"/>
        </w:rPr>
        <w:t>经评审小组认定允许其在线更正的笔误除外</w:t>
      </w:r>
      <w:r>
        <w:rPr>
          <w:rFonts w:hint="eastAsia" w:ascii="Times New Roman" w:hAnsi="Times New Roman" w:eastAsia="宋体" w:cs="Times New Roman"/>
          <w:bCs/>
          <w:color w:val="auto"/>
          <w:szCs w:val="21"/>
        </w:rPr>
        <w:t>）</w:t>
      </w:r>
    </w:p>
    <w:p w14:paraId="3AE062D8">
      <w:pPr>
        <w:keepNext w:val="0"/>
        <w:keepLines w:val="0"/>
        <w:pageBreakBefore w:val="0"/>
        <w:widowControl w:val="0"/>
        <w:kinsoku/>
        <w:wordWrap/>
        <w:overflowPunct/>
        <w:topLinePunct w:val="0"/>
        <w:autoSpaceDE/>
        <w:autoSpaceDN/>
        <w:bidi w:val="0"/>
        <w:adjustRightInd/>
        <w:snapToGrid w:val="0"/>
        <w:spacing w:line="360" w:lineRule="auto"/>
        <w:ind w:right="0" w:rightChars="0" w:firstLine="415" w:firstLineChars="198"/>
        <w:textAlignment w:val="auto"/>
        <w:rPr>
          <w:rFonts w:ascii="Times New Roman" w:hAnsi="Times New Roman" w:eastAsia="宋体" w:cs="Times New Roman"/>
          <w:bCs/>
          <w:color w:val="auto"/>
          <w:szCs w:val="21"/>
        </w:rPr>
      </w:pPr>
      <w:r>
        <w:rPr>
          <w:rFonts w:ascii="Times New Roman" w:hAnsi="Times New Roman" w:eastAsia="宋体" w:cs="Times New Roman"/>
          <w:bCs/>
          <w:color w:val="auto"/>
          <w:szCs w:val="21"/>
        </w:rPr>
        <w:t>1.4</w:t>
      </w:r>
      <w:r>
        <w:rPr>
          <w:rFonts w:hint="eastAsia" w:ascii="Times New Roman" w:hAnsi="Times New Roman" w:eastAsia="宋体" w:cs="Times New Roman"/>
          <w:bCs/>
          <w:color w:val="auto"/>
          <w:szCs w:val="21"/>
        </w:rPr>
        <w:t>投标文件的关键内容字迹模糊、无法辨认的，或者投标文件中经修正的内容字迹模糊难以辩认或者修改处未按规定签名盖章的；</w:t>
      </w:r>
    </w:p>
    <w:p w14:paraId="6973CCBC">
      <w:pPr>
        <w:keepNext w:val="0"/>
        <w:keepLines w:val="0"/>
        <w:pageBreakBefore w:val="0"/>
        <w:widowControl w:val="0"/>
        <w:kinsoku/>
        <w:wordWrap/>
        <w:overflowPunct/>
        <w:topLinePunct w:val="0"/>
        <w:autoSpaceDE/>
        <w:autoSpaceDN/>
        <w:bidi w:val="0"/>
        <w:adjustRightInd/>
        <w:snapToGrid w:val="0"/>
        <w:spacing w:line="360" w:lineRule="auto"/>
        <w:ind w:right="0" w:rightChars="0" w:firstLine="415" w:firstLineChars="198"/>
        <w:textAlignment w:val="auto"/>
        <w:rPr>
          <w:rFonts w:ascii="Times New Roman" w:hAnsi="Times New Roman" w:eastAsia="宋体" w:cs="Times New Roman"/>
          <w:bCs/>
          <w:color w:val="auto"/>
          <w:szCs w:val="21"/>
        </w:rPr>
      </w:pPr>
      <w:r>
        <w:rPr>
          <w:rFonts w:ascii="Times New Roman" w:hAnsi="Times New Roman" w:eastAsia="宋体" w:cs="Times New Roman"/>
          <w:bCs/>
          <w:color w:val="auto"/>
          <w:szCs w:val="21"/>
        </w:rPr>
        <w:t>1.5</w:t>
      </w:r>
      <w:r>
        <w:rPr>
          <w:rFonts w:hint="eastAsia" w:ascii="Times New Roman" w:hAnsi="Times New Roman" w:eastAsia="宋体" w:cs="Times New Roman"/>
          <w:bCs/>
          <w:color w:val="auto"/>
          <w:szCs w:val="21"/>
        </w:rPr>
        <w:t>投标有效期、交货时间、质保期等商务条款不能满足采购文件要求的；</w:t>
      </w:r>
    </w:p>
    <w:p w14:paraId="4D8D3B8C">
      <w:pPr>
        <w:keepNext w:val="0"/>
        <w:keepLines w:val="0"/>
        <w:pageBreakBefore w:val="0"/>
        <w:widowControl w:val="0"/>
        <w:kinsoku/>
        <w:wordWrap/>
        <w:overflowPunct/>
        <w:topLinePunct w:val="0"/>
        <w:autoSpaceDE/>
        <w:autoSpaceDN/>
        <w:bidi w:val="0"/>
        <w:adjustRightInd/>
        <w:snapToGrid w:val="0"/>
        <w:spacing w:line="360" w:lineRule="auto"/>
        <w:ind w:right="0" w:rightChars="0" w:firstLine="415" w:firstLineChars="198"/>
        <w:textAlignment w:val="auto"/>
        <w:rPr>
          <w:rFonts w:ascii="Times New Roman" w:hAnsi="Times New Roman" w:eastAsia="宋体" w:cs="Times New Roman"/>
          <w:bCs/>
          <w:color w:val="auto"/>
          <w:szCs w:val="21"/>
        </w:rPr>
      </w:pPr>
      <w:r>
        <w:rPr>
          <w:rFonts w:ascii="Times New Roman" w:hAnsi="Times New Roman" w:eastAsia="宋体" w:cs="Times New Roman"/>
          <w:bCs/>
          <w:color w:val="auto"/>
          <w:szCs w:val="21"/>
        </w:rPr>
        <w:t>1.6</w:t>
      </w:r>
      <w:r>
        <w:rPr>
          <w:rFonts w:hint="eastAsia" w:ascii="Times New Roman" w:hAnsi="Times New Roman" w:eastAsia="宋体" w:cs="Times New Roman"/>
          <w:bCs/>
          <w:color w:val="auto"/>
          <w:szCs w:val="21"/>
        </w:rPr>
        <w:t>未响应采购文件实质性要求或者投标文件有采购人不能接受的附加条件的；</w:t>
      </w:r>
    </w:p>
    <w:p w14:paraId="65FB6722">
      <w:pPr>
        <w:keepNext w:val="0"/>
        <w:keepLines w:val="0"/>
        <w:pageBreakBefore w:val="0"/>
        <w:widowControl w:val="0"/>
        <w:kinsoku/>
        <w:wordWrap/>
        <w:overflowPunct/>
        <w:topLinePunct w:val="0"/>
        <w:autoSpaceDE/>
        <w:autoSpaceDN/>
        <w:bidi w:val="0"/>
        <w:adjustRightInd/>
        <w:spacing w:line="360" w:lineRule="auto"/>
        <w:ind w:right="0" w:rightChars="0" w:firstLine="420" w:firstLineChars="200"/>
        <w:textAlignment w:val="auto"/>
        <w:rPr>
          <w:rFonts w:ascii="Times New Roman" w:hAnsi="Times New Roman" w:eastAsia="宋体" w:cs="Times New Roman"/>
          <w:bCs/>
          <w:color w:val="auto"/>
          <w:szCs w:val="21"/>
        </w:rPr>
      </w:pPr>
      <w:r>
        <w:rPr>
          <w:rFonts w:ascii="Times New Roman" w:hAnsi="Times New Roman" w:eastAsia="宋体" w:cs="Times New Roman"/>
          <w:bCs/>
          <w:color w:val="auto"/>
          <w:szCs w:val="21"/>
        </w:rPr>
        <w:t>1.7</w:t>
      </w:r>
      <w:r>
        <w:rPr>
          <w:rFonts w:hint="eastAsia" w:ascii="Times New Roman" w:hAnsi="Times New Roman" w:eastAsia="宋体" w:cs="Times New Roman"/>
          <w:bCs/>
          <w:color w:val="auto"/>
          <w:szCs w:val="21"/>
        </w:rPr>
        <w:t>投标文件没有按采购文件要求响应有标</w:t>
      </w:r>
      <w:r>
        <w:rPr>
          <w:rFonts w:ascii="Times New Roman" w:hAnsi="Times New Roman" w:eastAsia="宋体" w:cs="Times New Roman"/>
          <w:bCs/>
          <w:color w:val="auto"/>
          <w:szCs w:val="21"/>
        </w:rPr>
        <w:t>“</w:t>
      </w:r>
      <w:r>
        <w:rPr>
          <w:rFonts w:hint="eastAsia" w:ascii="Times New Roman" w:hAnsi="Times New Roman" w:eastAsia="宋体" w:cs="Times New Roman"/>
          <w:bCs/>
          <w:color w:val="auto"/>
          <w:szCs w:val="21"/>
        </w:rPr>
        <w:t>★</w:t>
      </w:r>
      <w:r>
        <w:rPr>
          <w:rFonts w:ascii="Times New Roman" w:hAnsi="Times New Roman" w:eastAsia="宋体" w:cs="Times New Roman"/>
          <w:bCs/>
          <w:color w:val="auto"/>
          <w:szCs w:val="21"/>
        </w:rPr>
        <w:t>”</w:t>
      </w:r>
      <w:r>
        <w:rPr>
          <w:rFonts w:hint="eastAsia" w:ascii="Times New Roman" w:hAnsi="Times New Roman" w:eastAsia="宋体" w:cs="Times New Roman"/>
          <w:bCs/>
          <w:color w:val="auto"/>
          <w:szCs w:val="21"/>
        </w:rPr>
        <w:t>的条款的资料和材料的；</w:t>
      </w:r>
      <w:bookmarkStart w:id="20" w:name="_Hlk175926338"/>
    </w:p>
    <w:p w14:paraId="2F36B9C6">
      <w:pPr>
        <w:pStyle w:val="2"/>
        <w:keepNext w:val="0"/>
        <w:keepLines w:val="0"/>
        <w:pageBreakBefore w:val="0"/>
        <w:widowControl w:val="0"/>
        <w:kinsoku/>
        <w:wordWrap/>
        <w:overflowPunct/>
        <w:topLinePunct w:val="0"/>
        <w:autoSpaceDE/>
        <w:autoSpaceDN/>
        <w:bidi w:val="0"/>
        <w:adjustRightInd/>
        <w:spacing w:after="0" w:line="360" w:lineRule="auto"/>
        <w:ind w:left="0" w:leftChars="0" w:firstLine="420" w:firstLineChars="200"/>
        <w:textAlignment w:val="auto"/>
        <w:rPr>
          <w:rFonts w:hint="eastAsia" w:ascii="Times New Roman" w:hAnsi="Times New Roman" w:eastAsia="宋体" w:cs="Times New Roman"/>
          <w:b w:val="0"/>
          <w:bCs/>
          <w:color w:val="auto"/>
          <w:szCs w:val="21"/>
          <w14:ligatures w14:val="none"/>
        </w:rPr>
      </w:pPr>
      <w:r>
        <w:rPr>
          <w:rFonts w:hint="eastAsia" w:ascii="Times New Roman" w:hAnsi="Times New Roman" w:eastAsia="宋体" w:cs="Times New Roman"/>
          <w:b w:val="0"/>
          <w:bCs/>
          <w:color w:val="auto"/>
          <w:szCs w:val="21"/>
          <w14:ligatures w14:val="none"/>
        </w:rPr>
        <w:t>1.8在不影响公平竞争的前提下，采购文件中参与同一标段（包）的供应商存在以下情形的，其投标文件相应无效：MAC地址相同、计算机硬盘序列号相同、采购文件细节错误一致且无合理解释的等情形。</w:t>
      </w:r>
    </w:p>
    <w:p w14:paraId="676EE3C0">
      <w:pPr>
        <w:pStyle w:val="2"/>
        <w:keepNext w:val="0"/>
        <w:keepLines w:val="0"/>
        <w:pageBreakBefore w:val="0"/>
        <w:widowControl w:val="0"/>
        <w:kinsoku/>
        <w:wordWrap/>
        <w:overflowPunct/>
        <w:topLinePunct w:val="0"/>
        <w:autoSpaceDE/>
        <w:autoSpaceDN/>
        <w:bidi w:val="0"/>
        <w:adjustRightInd/>
        <w:spacing w:after="0" w:line="360" w:lineRule="auto"/>
        <w:ind w:left="0" w:leftChars="0" w:firstLine="420" w:firstLineChars="200"/>
        <w:textAlignment w:val="auto"/>
        <w:rPr>
          <w:rFonts w:hint="eastAsia" w:ascii="Times New Roman" w:hAnsi="Times New Roman" w:eastAsia="宋体" w:cs="Times New Roman"/>
          <w:b w:val="0"/>
          <w:bCs/>
          <w:color w:val="auto"/>
          <w:szCs w:val="21"/>
          <w14:ligatures w14:val="none"/>
        </w:rPr>
      </w:pPr>
      <w:r>
        <w:rPr>
          <w:rFonts w:hint="eastAsia" w:ascii="Times New Roman" w:hAnsi="Times New Roman" w:eastAsia="宋体" w:cs="Times New Roman"/>
          <w:b w:val="0"/>
          <w:bCs/>
          <w:color w:val="auto"/>
          <w:szCs w:val="21"/>
          <w14:ligatures w14:val="none"/>
        </w:rPr>
        <w:t>1.9上传的电子投标（响应）文件若出现使用本项目其他投标（响应）供应商的数字证书加密的，或者加盖本项目其他投标（响应）供应商的电子印章的；</w:t>
      </w:r>
    </w:p>
    <w:p w14:paraId="310BD6BD">
      <w:pPr>
        <w:pStyle w:val="2"/>
        <w:keepNext w:val="0"/>
        <w:keepLines w:val="0"/>
        <w:pageBreakBefore w:val="0"/>
        <w:widowControl w:val="0"/>
        <w:kinsoku/>
        <w:wordWrap/>
        <w:overflowPunct/>
        <w:topLinePunct w:val="0"/>
        <w:autoSpaceDE/>
        <w:autoSpaceDN/>
        <w:bidi w:val="0"/>
        <w:adjustRightInd/>
        <w:spacing w:after="0" w:line="360" w:lineRule="auto"/>
        <w:ind w:left="0" w:leftChars="0" w:firstLine="420" w:firstLineChars="200"/>
        <w:textAlignment w:val="auto"/>
        <w:rPr>
          <w:rFonts w:hint="eastAsia" w:ascii="Times New Roman" w:hAnsi="Times New Roman" w:eastAsia="宋体" w:cs="Times New Roman"/>
          <w:b w:val="0"/>
          <w:bCs/>
          <w:color w:val="auto"/>
          <w:szCs w:val="21"/>
          <w14:ligatures w14:val="none"/>
        </w:rPr>
      </w:pPr>
      <w:r>
        <w:rPr>
          <w:rFonts w:hint="eastAsia" w:ascii="Times New Roman" w:hAnsi="Times New Roman" w:eastAsia="宋体" w:cs="Times New Roman"/>
          <w:b w:val="0"/>
          <w:bCs/>
          <w:color w:val="auto"/>
          <w:szCs w:val="21"/>
          <w14:ligatures w14:val="none"/>
        </w:rPr>
        <w:t>1.10不同供应商的投标（响应）文件的内容存在三处（含）以上错误一致的；</w:t>
      </w:r>
    </w:p>
    <w:p w14:paraId="550035EC">
      <w:pPr>
        <w:keepNext w:val="0"/>
        <w:keepLines w:val="0"/>
        <w:pageBreakBefore w:val="0"/>
        <w:widowControl w:val="0"/>
        <w:kinsoku/>
        <w:wordWrap/>
        <w:overflowPunct/>
        <w:topLinePunct w:val="0"/>
        <w:autoSpaceDE/>
        <w:autoSpaceDN/>
        <w:bidi w:val="0"/>
        <w:adjustRightInd/>
        <w:spacing w:line="360" w:lineRule="auto"/>
        <w:ind w:right="0" w:rightChars="0" w:firstLine="420" w:firstLineChars="200"/>
        <w:textAlignment w:val="auto"/>
        <w:rPr>
          <w:rFonts w:ascii="Times New Roman" w:hAnsi="Times New Roman" w:eastAsia="宋体" w:cs="Times New Roman"/>
          <w:b/>
          <w:bCs/>
          <w:color w:val="auto"/>
          <w:szCs w:val="20"/>
        </w:rPr>
      </w:pPr>
      <w:r>
        <w:rPr>
          <w:rFonts w:hint="eastAsia" w:ascii="Times New Roman" w:hAnsi="Times New Roman" w:eastAsia="宋体" w:cs="Times New Roman"/>
          <w:b w:val="0"/>
          <w:bCs/>
          <w:color w:val="auto"/>
          <w:szCs w:val="21"/>
          <w14:ligatures w14:val="none"/>
        </w:rPr>
        <w:t>1.11不同供应商联系人为同一人或不同联系人的联系电话一致的</w:t>
      </w:r>
      <w:r>
        <w:rPr>
          <w:rFonts w:ascii="宋体" w:hAnsi="宋体" w:eastAsia="宋体" w:cs="Times New Roman"/>
          <w:b/>
          <w:bCs/>
          <w:color w:val="auto"/>
        </w:rPr>
        <w:t>。</w:t>
      </w:r>
      <w:bookmarkEnd w:id="20"/>
    </w:p>
    <w:p w14:paraId="4CC72602">
      <w:pPr>
        <w:spacing w:line="360" w:lineRule="auto"/>
        <w:ind w:firstLine="420"/>
        <w:rPr>
          <w:rFonts w:ascii="Times New Roman" w:hAnsi="Times New Roman" w:eastAsia="宋体" w:cs="Times New Roman"/>
          <w:color w:val="auto"/>
          <w:szCs w:val="21"/>
        </w:rPr>
      </w:pPr>
      <w:r>
        <w:rPr>
          <w:rFonts w:ascii="Times New Roman" w:hAnsi="Times New Roman" w:eastAsia="宋体" w:cs="Times New Roman"/>
          <w:b/>
          <w:bCs/>
          <w:color w:val="auto"/>
        </w:rPr>
        <w:t>2.</w:t>
      </w:r>
      <w:r>
        <w:rPr>
          <w:rFonts w:hint="eastAsia" w:ascii="Times New Roman" w:hAnsi="Times New Roman" w:eastAsia="宋体" w:cs="Times New Roman"/>
          <w:b/>
          <w:bCs/>
          <w:color w:val="auto"/>
        </w:rPr>
        <w:t>在技术评审时，如发现下列情形之一的，投标文件将被视为无效响应：</w:t>
      </w:r>
    </w:p>
    <w:p w14:paraId="03090A9A">
      <w:pPr>
        <w:spacing w:line="360" w:lineRule="auto"/>
        <w:ind w:firstLine="420"/>
        <w:rPr>
          <w:rFonts w:ascii="Times New Roman" w:hAnsi="Times New Roman" w:eastAsia="宋体" w:cs="Times New Roman"/>
          <w:color w:val="auto"/>
          <w:szCs w:val="21"/>
        </w:rPr>
      </w:pPr>
      <w:r>
        <w:rPr>
          <w:rFonts w:ascii="Times New Roman" w:hAnsi="Times New Roman" w:eastAsia="宋体" w:cs="Times New Roman"/>
          <w:color w:val="auto"/>
          <w:szCs w:val="21"/>
        </w:rPr>
        <w:t>2.1</w:t>
      </w:r>
      <w:r>
        <w:rPr>
          <w:rFonts w:hint="eastAsia" w:ascii="Times New Roman" w:hAnsi="Times New Roman" w:eastAsia="宋体" w:cs="Times New Roman"/>
          <w:color w:val="auto"/>
          <w:szCs w:val="21"/>
        </w:rPr>
        <w:t>投标文件标明的响应或偏离与事实不符或虚假投标的；</w:t>
      </w:r>
    </w:p>
    <w:p w14:paraId="18445468">
      <w:pPr>
        <w:spacing w:line="360" w:lineRule="auto"/>
        <w:ind w:firstLine="420" w:firstLineChars="200"/>
        <w:rPr>
          <w:rFonts w:ascii="Times New Roman" w:hAnsi="Times New Roman" w:eastAsia="宋体" w:cs="Times New Roman"/>
          <w:color w:val="auto"/>
          <w:szCs w:val="21"/>
        </w:rPr>
      </w:pPr>
      <w:r>
        <w:rPr>
          <w:rFonts w:ascii="Times New Roman" w:hAnsi="Times New Roman" w:eastAsia="宋体" w:cs="Times New Roman"/>
          <w:bCs/>
          <w:color w:val="auto"/>
          <w:szCs w:val="21"/>
        </w:rPr>
        <w:t>2.2</w:t>
      </w:r>
      <w:r>
        <w:rPr>
          <w:rFonts w:hint="eastAsia" w:ascii="Times New Roman" w:hAnsi="Times New Roman" w:eastAsia="宋体" w:cs="Times New Roman"/>
          <w:bCs/>
          <w:color w:val="auto"/>
          <w:szCs w:val="21"/>
        </w:rPr>
        <w:t>明显不符合采购文件标明的质量标准，或者采购文件中标</w:t>
      </w:r>
      <w:r>
        <w:rPr>
          <w:rFonts w:ascii="Times New Roman" w:hAnsi="Times New Roman" w:eastAsia="宋体" w:cs="Times New Roman"/>
          <w:bCs/>
          <w:color w:val="auto"/>
          <w:szCs w:val="21"/>
        </w:rPr>
        <w:t>“</w:t>
      </w:r>
      <w:r>
        <w:rPr>
          <w:rFonts w:hint="eastAsia" w:ascii="Times New Roman" w:hAnsi="Times New Roman" w:eastAsia="宋体" w:cs="Times New Roman"/>
          <w:b/>
          <w:color w:val="auto"/>
        </w:rPr>
        <w:t>★</w:t>
      </w:r>
      <w:r>
        <w:rPr>
          <w:rFonts w:ascii="Times New Roman" w:hAnsi="Times New Roman" w:eastAsia="宋体" w:cs="Times New Roman"/>
          <w:bCs/>
          <w:color w:val="auto"/>
          <w:szCs w:val="21"/>
        </w:rPr>
        <w:t>”</w:t>
      </w:r>
      <w:r>
        <w:rPr>
          <w:rFonts w:hint="eastAsia" w:ascii="Times New Roman" w:hAnsi="Times New Roman" w:eastAsia="宋体" w:cs="Times New Roman"/>
          <w:bCs/>
          <w:color w:val="auto"/>
          <w:szCs w:val="21"/>
        </w:rPr>
        <w:t>的技术参数、条款（如有）发生实质性偏离的；</w:t>
      </w:r>
    </w:p>
    <w:p w14:paraId="1EB77F83">
      <w:pPr>
        <w:spacing w:line="360" w:lineRule="auto"/>
        <w:ind w:firstLine="420"/>
        <w:rPr>
          <w:rFonts w:ascii="Times New Roman" w:hAnsi="Times New Roman" w:eastAsia="宋体" w:cs="Times New Roman"/>
          <w:color w:val="auto"/>
        </w:rPr>
      </w:pPr>
      <w:r>
        <w:rPr>
          <w:rFonts w:ascii="Times New Roman" w:hAnsi="Times New Roman" w:eastAsia="宋体" w:cs="Times New Roman"/>
          <w:color w:val="auto"/>
          <w:szCs w:val="21"/>
        </w:rPr>
        <w:t>2.3</w:t>
      </w:r>
      <w:r>
        <w:rPr>
          <w:rFonts w:hint="eastAsia" w:ascii="Times New Roman" w:hAnsi="Times New Roman" w:eastAsia="宋体" w:cs="Times New Roman"/>
          <w:color w:val="auto"/>
          <w:szCs w:val="21"/>
        </w:rPr>
        <w:t>投标技术方案不明确，存在一个或一个以上备选（替代）投标方案的；</w:t>
      </w:r>
    </w:p>
    <w:p w14:paraId="047E8405">
      <w:pPr>
        <w:spacing w:line="360" w:lineRule="auto"/>
        <w:ind w:firstLine="420"/>
        <w:rPr>
          <w:rFonts w:ascii="Times New Roman" w:hAnsi="Times New Roman" w:eastAsia="宋体" w:cs="Times New Roman"/>
          <w:color w:val="auto"/>
          <w:szCs w:val="21"/>
        </w:rPr>
      </w:pPr>
      <w:r>
        <w:rPr>
          <w:rFonts w:ascii="Times New Roman" w:hAnsi="Times New Roman" w:eastAsia="宋体" w:cs="Times New Roman"/>
          <w:b/>
          <w:bCs/>
          <w:color w:val="auto"/>
        </w:rPr>
        <w:t>3.</w:t>
      </w:r>
      <w:r>
        <w:rPr>
          <w:rFonts w:hint="eastAsia" w:ascii="Times New Roman" w:hAnsi="Times New Roman" w:eastAsia="宋体" w:cs="Times New Roman"/>
          <w:b/>
          <w:color w:val="auto"/>
          <w:szCs w:val="21"/>
        </w:rPr>
        <w:t>在投标报价文件评审时</w:t>
      </w:r>
      <w:r>
        <w:rPr>
          <w:rFonts w:hint="eastAsia" w:ascii="Times New Roman" w:hAnsi="Times New Roman" w:eastAsia="宋体" w:cs="Times New Roman"/>
          <w:b/>
          <w:bCs/>
          <w:color w:val="auto"/>
        </w:rPr>
        <w:t>，如发现下列情形之一的，投标文件将被视为无效响应：</w:t>
      </w:r>
    </w:p>
    <w:p w14:paraId="09EB2A22">
      <w:pPr>
        <w:snapToGrid w:val="0"/>
        <w:spacing w:line="360" w:lineRule="auto"/>
        <w:ind w:right="-86" w:rightChars="-41" w:firstLine="438" w:firstLineChars="209"/>
        <w:rPr>
          <w:rFonts w:ascii="Times New Roman" w:hAnsi="Times New Roman" w:eastAsia="宋体" w:cs="Times New Roman"/>
          <w:color w:val="auto"/>
          <w:szCs w:val="20"/>
        </w:rPr>
      </w:pPr>
      <w:r>
        <w:rPr>
          <w:rFonts w:ascii="Times New Roman" w:hAnsi="Times New Roman" w:eastAsia="宋体" w:cs="Times New Roman"/>
          <w:color w:val="auto"/>
          <w:szCs w:val="20"/>
        </w:rPr>
        <w:t>3.1</w:t>
      </w:r>
      <w:r>
        <w:rPr>
          <w:rFonts w:hint="eastAsia" w:ascii="Times New Roman" w:hAnsi="Times New Roman" w:eastAsia="宋体" w:cs="Times New Roman"/>
          <w:color w:val="auto"/>
          <w:szCs w:val="20"/>
        </w:rPr>
        <w:t>未采用人民币报价或者未按照采购文件标明的币种报价的；</w:t>
      </w:r>
    </w:p>
    <w:p w14:paraId="37376683">
      <w:pPr>
        <w:snapToGrid w:val="0"/>
        <w:spacing w:line="360" w:lineRule="auto"/>
        <w:ind w:right="-86" w:rightChars="-41" w:firstLine="438" w:firstLineChars="209"/>
        <w:rPr>
          <w:rFonts w:ascii="Times New Roman" w:hAnsi="Times New Roman" w:eastAsia="宋体" w:cs="Times New Roman"/>
          <w:color w:val="auto"/>
          <w:szCs w:val="20"/>
        </w:rPr>
      </w:pPr>
      <w:r>
        <w:rPr>
          <w:rFonts w:ascii="Times New Roman" w:hAnsi="Times New Roman" w:eastAsia="宋体" w:cs="Times New Roman"/>
          <w:color w:val="auto"/>
          <w:szCs w:val="20"/>
        </w:rPr>
        <w:t>3.2</w:t>
      </w:r>
      <w:r>
        <w:rPr>
          <w:rFonts w:hint="eastAsia" w:ascii="Times New Roman" w:hAnsi="Times New Roman" w:eastAsia="宋体" w:cs="Times New Roman"/>
          <w:color w:val="auto"/>
          <w:szCs w:val="20"/>
        </w:rPr>
        <w:t>报价超出最高限价，或者超出采购预算金额，采购人不能支付的；</w:t>
      </w:r>
    </w:p>
    <w:p w14:paraId="4431E165">
      <w:pPr>
        <w:snapToGrid w:val="0"/>
        <w:spacing w:line="360" w:lineRule="auto"/>
        <w:ind w:right="-86" w:rightChars="-41" w:firstLine="438" w:firstLineChars="209"/>
        <w:rPr>
          <w:rFonts w:ascii="Times New Roman" w:hAnsi="Times New Roman" w:eastAsia="宋体" w:cs="Times New Roman"/>
          <w:color w:val="auto"/>
          <w:szCs w:val="20"/>
        </w:rPr>
      </w:pPr>
      <w:r>
        <w:rPr>
          <w:rFonts w:ascii="Times New Roman" w:hAnsi="Times New Roman" w:eastAsia="宋体" w:cs="Times New Roman"/>
          <w:color w:val="auto"/>
          <w:szCs w:val="20"/>
        </w:rPr>
        <w:t>3.3</w:t>
      </w:r>
      <w:r>
        <w:rPr>
          <w:rFonts w:hint="eastAsia" w:ascii="Times New Roman" w:hAnsi="Times New Roman" w:eastAsia="宋体" w:cs="Times New Roman"/>
          <w:color w:val="auto"/>
          <w:szCs w:val="20"/>
        </w:rPr>
        <w:t>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14:paraId="1145E8EE">
      <w:pPr>
        <w:snapToGrid w:val="0"/>
        <w:spacing w:line="360" w:lineRule="auto"/>
        <w:ind w:right="-86" w:rightChars="-41" w:firstLine="438" w:firstLineChars="209"/>
        <w:rPr>
          <w:rFonts w:ascii="Times New Roman" w:hAnsi="Times New Roman" w:eastAsia="宋体" w:cs="Times New Roman"/>
          <w:color w:val="auto"/>
          <w:szCs w:val="20"/>
        </w:rPr>
      </w:pPr>
      <w:r>
        <w:rPr>
          <w:rFonts w:ascii="Times New Roman" w:hAnsi="Times New Roman" w:eastAsia="宋体" w:cs="Times New Roman"/>
          <w:color w:val="auto"/>
          <w:szCs w:val="20"/>
        </w:rPr>
        <w:t>3.4</w:t>
      </w:r>
      <w:r>
        <w:rPr>
          <w:rFonts w:hint="eastAsia" w:ascii="Times New Roman" w:hAnsi="Times New Roman" w:eastAsia="宋体" w:cs="Times New Roman"/>
          <w:color w:val="auto"/>
          <w:szCs w:val="20"/>
        </w:rPr>
        <w:t>投标报价具有选择性，或者开标价格与投标文件承诺的优惠（折扣）价格不一致的；</w:t>
      </w:r>
    </w:p>
    <w:p w14:paraId="542D9799">
      <w:pPr>
        <w:snapToGrid w:val="0"/>
        <w:spacing w:line="360" w:lineRule="auto"/>
        <w:ind w:right="-86" w:rightChars="-41" w:firstLine="441" w:firstLineChars="209"/>
        <w:rPr>
          <w:rFonts w:ascii="Times New Roman" w:hAnsi="Times New Roman" w:eastAsia="宋体" w:cs="Times New Roman"/>
          <w:color w:val="auto"/>
          <w:szCs w:val="20"/>
        </w:rPr>
      </w:pPr>
      <w:r>
        <w:rPr>
          <w:rFonts w:hint="eastAsia" w:ascii="Times New Roman" w:hAnsi="Times New Roman" w:eastAsia="宋体" w:cs="Times New Roman"/>
          <w:b/>
          <w:bCs/>
          <w:color w:val="auto"/>
          <w:szCs w:val="20"/>
        </w:rPr>
        <w:t>4</w:t>
      </w:r>
      <w:r>
        <w:rPr>
          <w:rFonts w:ascii="Times New Roman" w:hAnsi="Times New Roman" w:eastAsia="宋体" w:cs="Times New Roman"/>
          <w:b/>
          <w:bCs/>
          <w:color w:val="auto"/>
          <w:szCs w:val="20"/>
        </w:rPr>
        <w:t>.</w:t>
      </w:r>
      <w:r>
        <w:rPr>
          <w:rFonts w:hint="eastAsia" w:ascii="Times New Roman" w:hAnsi="Times New Roman" w:eastAsia="宋体" w:cs="Times New Roman"/>
          <w:color w:val="auto"/>
          <w:szCs w:val="20"/>
        </w:rPr>
        <w:t>法律、法规和采购文件规定的其他无效情形。</w:t>
      </w:r>
    </w:p>
    <w:p w14:paraId="70173D85">
      <w:pPr>
        <w:snapToGrid w:val="0"/>
        <w:spacing w:line="360" w:lineRule="auto"/>
        <w:ind w:right="-86" w:rightChars="-41"/>
        <w:rPr>
          <w:rFonts w:ascii="Times New Roman" w:hAnsi="Times New Roman" w:eastAsia="宋体" w:cs="Times New Roman"/>
          <w:color w:val="auto"/>
          <w:szCs w:val="20"/>
        </w:rPr>
      </w:pPr>
      <w:r>
        <w:rPr>
          <w:rFonts w:hint="eastAsia" w:ascii="Times New Roman" w:hAnsi="Times New Roman" w:eastAsia="宋体" w:cs="Times New Roman"/>
          <w:b/>
          <w:color w:val="auto"/>
          <w:szCs w:val="21"/>
        </w:rPr>
        <w:t>（七）</w:t>
      </w:r>
      <w:r>
        <w:rPr>
          <w:rFonts w:hint="eastAsia" w:ascii="Times New Roman" w:hAnsi="Times New Roman" w:eastAsia="宋体" w:cs="Times New Roman"/>
          <w:b/>
          <w:color w:val="auto"/>
          <w:szCs w:val="20"/>
        </w:rPr>
        <w:t>出现以下情形，导致电子交易平台无法正常运行，或者无法保证电子交易的公平、公正和安全时，中止电子交易活动：</w:t>
      </w:r>
    </w:p>
    <w:p w14:paraId="7E27D3EF">
      <w:pPr>
        <w:snapToGrid w:val="0"/>
        <w:spacing w:line="360" w:lineRule="auto"/>
        <w:ind w:right="-86" w:rightChars="-41" w:firstLine="438" w:firstLineChars="209"/>
        <w:rPr>
          <w:rFonts w:ascii="Times New Roman" w:hAnsi="Times New Roman" w:eastAsia="宋体" w:cs="Times New Roman"/>
          <w:color w:val="auto"/>
          <w:szCs w:val="20"/>
        </w:rPr>
      </w:pPr>
      <w:r>
        <w:rPr>
          <w:rFonts w:hint="eastAsia" w:ascii="Times New Roman" w:hAnsi="Times New Roman" w:eastAsia="宋体" w:cs="Times New Roman"/>
          <w:color w:val="auto"/>
          <w:szCs w:val="20"/>
        </w:rPr>
        <w:t>（一）电子交易平台发生故障而无法登录访问的；</w:t>
      </w:r>
    </w:p>
    <w:p w14:paraId="5B116F9B">
      <w:pPr>
        <w:snapToGrid w:val="0"/>
        <w:spacing w:line="360" w:lineRule="auto"/>
        <w:ind w:right="-86" w:rightChars="-41" w:firstLine="438" w:firstLineChars="209"/>
        <w:rPr>
          <w:rFonts w:ascii="Times New Roman" w:hAnsi="Times New Roman" w:eastAsia="宋体" w:cs="Times New Roman"/>
          <w:color w:val="auto"/>
          <w:szCs w:val="20"/>
        </w:rPr>
      </w:pPr>
      <w:r>
        <w:rPr>
          <w:rFonts w:hint="eastAsia" w:ascii="Times New Roman" w:hAnsi="Times New Roman" w:eastAsia="宋体" w:cs="Times New Roman"/>
          <w:color w:val="auto"/>
          <w:szCs w:val="20"/>
        </w:rPr>
        <w:t>（二）电子交易平台应用或数据库出现错误，不能进行正常操作的；</w:t>
      </w:r>
    </w:p>
    <w:p w14:paraId="0ED2652C">
      <w:pPr>
        <w:snapToGrid w:val="0"/>
        <w:spacing w:line="360" w:lineRule="auto"/>
        <w:ind w:right="-86" w:rightChars="-41" w:firstLine="438" w:firstLineChars="209"/>
        <w:rPr>
          <w:rFonts w:ascii="Times New Roman" w:hAnsi="Times New Roman" w:eastAsia="宋体" w:cs="Times New Roman"/>
          <w:color w:val="auto"/>
          <w:szCs w:val="20"/>
        </w:rPr>
      </w:pPr>
      <w:r>
        <w:rPr>
          <w:rFonts w:hint="eastAsia" w:ascii="Times New Roman" w:hAnsi="Times New Roman" w:eastAsia="宋体" w:cs="Times New Roman"/>
          <w:color w:val="auto"/>
          <w:szCs w:val="20"/>
        </w:rPr>
        <w:t>（三）电子交易平台发现严重安全漏洞，有潜在泄密危险的；</w:t>
      </w:r>
    </w:p>
    <w:p w14:paraId="7EC601EA">
      <w:pPr>
        <w:snapToGrid w:val="0"/>
        <w:spacing w:line="360" w:lineRule="auto"/>
        <w:ind w:right="-86" w:rightChars="-41" w:firstLine="438" w:firstLineChars="209"/>
        <w:rPr>
          <w:rFonts w:ascii="Times New Roman" w:hAnsi="Times New Roman" w:eastAsia="宋体" w:cs="Times New Roman"/>
          <w:color w:val="auto"/>
          <w:szCs w:val="20"/>
        </w:rPr>
      </w:pPr>
      <w:r>
        <w:rPr>
          <w:rFonts w:hint="eastAsia" w:ascii="Times New Roman" w:hAnsi="Times New Roman" w:eastAsia="宋体" w:cs="Times New Roman"/>
          <w:color w:val="auto"/>
          <w:szCs w:val="20"/>
        </w:rPr>
        <w:t>（四）病毒发作导致不能进行正常操作的；</w:t>
      </w:r>
    </w:p>
    <w:p w14:paraId="4EE809C8">
      <w:pPr>
        <w:snapToGrid w:val="0"/>
        <w:spacing w:line="360" w:lineRule="auto"/>
        <w:ind w:right="-86" w:rightChars="-41" w:firstLine="438" w:firstLineChars="209"/>
        <w:rPr>
          <w:rFonts w:ascii="Times New Roman" w:hAnsi="Times New Roman" w:eastAsia="宋体" w:cs="Times New Roman"/>
          <w:color w:val="auto"/>
          <w:szCs w:val="20"/>
        </w:rPr>
      </w:pPr>
      <w:r>
        <w:rPr>
          <w:rFonts w:hint="eastAsia" w:ascii="Times New Roman" w:hAnsi="Times New Roman" w:eastAsia="宋体" w:cs="Times New Roman"/>
          <w:color w:val="auto"/>
          <w:szCs w:val="20"/>
        </w:rPr>
        <w:t>（五）其他无法保证电子交易的公平、公正和安全的情况。</w:t>
      </w:r>
    </w:p>
    <w:p w14:paraId="7840B6CD">
      <w:pPr>
        <w:snapToGrid w:val="0"/>
        <w:spacing w:line="360" w:lineRule="auto"/>
        <w:ind w:right="-86" w:rightChars="-41" w:firstLine="438" w:firstLineChars="209"/>
        <w:rPr>
          <w:rFonts w:ascii="Times New Roman" w:hAnsi="Times New Roman" w:eastAsia="宋体" w:cs="Times New Roman"/>
          <w:color w:val="auto"/>
          <w:szCs w:val="20"/>
        </w:rPr>
      </w:pPr>
      <w:r>
        <w:rPr>
          <w:rFonts w:hint="eastAsia" w:ascii="Times New Roman" w:hAnsi="Times New Roman" w:eastAsia="宋体" w:cs="Times New Roman"/>
          <w:color w:val="auto"/>
          <w:szCs w:val="20"/>
        </w:rPr>
        <w:t>出现前款规定情形，不影响采购公平、公正性的，代理机构可以待上述情形消除后继续组织电子交易活动，也可以决定某些环节以纸质形式进行；影响或可能影响采购公平、公正性的，重新采购。</w:t>
      </w:r>
    </w:p>
    <w:p w14:paraId="03AD0F80">
      <w:pPr>
        <w:widowControl/>
        <w:snapToGrid w:val="0"/>
        <w:spacing w:line="360" w:lineRule="auto"/>
        <w:ind w:right="55"/>
        <w:rPr>
          <w:rFonts w:ascii="Times New Roman" w:hAnsi="Times New Roman" w:eastAsia="宋体" w:cs="Times New Roman"/>
          <w:b/>
          <w:bCs/>
          <w:color w:val="auto"/>
          <w:spacing w:val="-4"/>
          <w:kern w:val="0"/>
          <w:szCs w:val="21"/>
        </w:rPr>
      </w:pPr>
      <w:r>
        <w:rPr>
          <w:rFonts w:hint="eastAsia" w:ascii="Times New Roman" w:hAnsi="Times New Roman" w:eastAsia="宋体" w:cs="Times New Roman"/>
          <w:b/>
          <w:bCs/>
          <w:color w:val="auto"/>
          <w:spacing w:val="-4"/>
          <w:kern w:val="0"/>
          <w:szCs w:val="21"/>
        </w:rPr>
        <w:t>（八）报名不足三家的处理方式</w:t>
      </w:r>
    </w:p>
    <w:p w14:paraId="40AF20E9">
      <w:pPr>
        <w:widowControl/>
        <w:snapToGrid w:val="0"/>
        <w:spacing w:line="360" w:lineRule="auto"/>
        <w:ind w:right="55" w:firstLine="470"/>
        <w:rPr>
          <w:rFonts w:ascii="Times New Roman" w:hAnsi="Times New Roman" w:eastAsia="宋体" w:cs="Times New Roman"/>
          <w:bCs/>
          <w:color w:val="auto"/>
          <w:spacing w:val="-4"/>
          <w:kern w:val="0"/>
          <w:szCs w:val="21"/>
        </w:rPr>
      </w:pPr>
      <w:r>
        <w:rPr>
          <w:rFonts w:hint="eastAsia" w:ascii="Times New Roman" w:hAnsi="Times New Roman" w:eastAsia="宋体" w:cs="Times New Roman"/>
          <w:bCs/>
          <w:color w:val="auto"/>
          <w:spacing w:val="-4"/>
          <w:kern w:val="0"/>
          <w:szCs w:val="21"/>
        </w:rPr>
        <w:t>报名时间截止后，在开标时间前获取招标文件的潜在投标人不足三家的，采购代理机构可以顺延提供期限，并予公告。</w:t>
      </w:r>
    </w:p>
    <w:p w14:paraId="58816133">
      <w:pPr>
        <w:widowControl/>
        <w:snapToGrid w:val="0"/>
        <w:spacing w:line="360" w:lineRule="auto"/>
        <w:ind w:right="55"/>
        <w:jc w:val="left"/>
        <w:rPr>
          <w:rFonts w:ascii="Times New Roman" w:hAnsi="Times New Roman" w:eastAsia="宋体" w:cs="Times New Roman"/>
          <w:color w:val="auto"/>
          <w:szCs w:val="20"/>
        </w:rPr>
      </w:pPr>
      <w:r>
        <w:rPr>
          <w:rFonts w:hint="eastAsia" w:ascii="Times New Roman" w:hAnsi="Times New Roman" w:eastAsia="宋体" w:cs="Times New Roman"/>
          <w:b/>
          <w:color w:val="auto"/>
          <w:spacing w:val="-4"/>
          <w:kern w:val="0"/>
          <w:szCs w:val="21"/>
        </w:rPr>
        <w:t>（九）被拒绝的投标文件为无效。</w:t>
      </w:r>
    </w:p>
    <w:p w14:paraId="59CB72B1">
      <w:pPr>
        <w:widowControl/>
        <w:snapToGrid w:val="0"/>
        <w:spacing w:line="360" w:lineRule="auto"/>
        <w:ind w:right="55" w:firstLine="3591" w:firstLineChars="1315"/>
        <w:rPr>
          <w:rFonts w:ascii="Times New Roman" w:hAnsi="Times New Roman" w:eastAsia="宋体" w:cs="Times New Roman"/>
          <w:b/>
          <w:color w:val="auto"/>
          <w:spacing w:val="-4"/>
          <w:kern w:val="0"/>
          <w:sz w:val="28"/>
          <w:szCs w:val="28"/>
        </w:rPr>
      </w:pPr>
      <w:r>
        <w:rPr>
          <w:rFonts w:hint="eastAsia" w:ascii="Times New Roman" w:hAnsi="Times New Roman" w:eastAsia="宋体" w:cs="Times New Roman"/>
          <w:b/>
          <w:color w:val="auto"/>
          <w:spacing w:val="-4"/>
          <w:kern w:val="0"/>
          <w:sz w:val="28"/>
          <w:szCs w:val="28"/>
        </w:rPr>
        <w:t>四、开标</w:t>
      </w:r>
    </w:p>
    <w:p w14:paraId="3BFBF957">
      <w:pPr>
        <w:spacing w:after="120" w:line="360" w:lineRule="auto"/>
        <w:ind w:firstLine="422" w:firstLineChars="200"/>
        <w:jc w:val="left"/>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电子招投标开标及评审程序</w:t>
      </w:r>
    </w:p>
    <w:p w14:paraId="7028843D">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采购组织机构按照规定的时间通过政采云系统组织开标、开启响应文件，所有投标人均应当准时在线参加。</w:t>
      </w:r>
    </w:p>
    <w:p w14:paraId="62750C9F">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投标截止时间后，投标人登录政采云平台，用</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项目采购</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开标评标</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功能对电子投标文件进行</w:t>
      </w:r>
      <w:r>
        <w:rPr>
          <w:rFonts w:hint="eastAsia" w:ascii="Times New Roman" w:hAnsi="Times New Roman" w:eastAsia="宋体" w:cs="Times New Roman"/>
          <w:b/>
          <w:bCs/>
          <w:color w:val="auto"/>
          <w:szCs w:val="21"/>
        </w:rPr>
        <w:t>在线解密。</w:t>
      </w:r>
      <w:r>
        <w:rPr>
          <w:rFonts w:hint="eastAsia" w:ascii="Times New Roman" w:hAnsi="Times New Roman" w:eastAsia="宋体" w:cs="Times New Roman"/>
          <w:color w:val="auto"/>
          <w:szCs w:val="21"/>
        </w:rPr>
        <w:t>在线解密电子投标文件时间</w:t>
      </w:r>
      <w:r>
        <w:rPr>
          <w:rFonts w:hint="eastAsia" w:ascii="Times New Roman" w:hAnsi="Times New Roman" w:eastAsia="宋体" w:cs="Times New Roman"/>
          <w:b/>
          <w:bCs/>
          <w:color w:val="auto"/>
          <w:szCs w:val="21"/>
        </w:rPr>
        <w:t>为开标时间起半个小时内；</w:t>
      </w:r>
    </w:p>
    <w:p w14:paraId="65004C3C">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采购人或代理机构对资格文件进行评审，评标委员会对商务技术响应文件进行评审。</w:t>
      </w:r>
    </w:p>
    <w:p w14:paraId="6FC8CEAD">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4.</w:t>
      </w:r>
      <w:r>
        <w:rPr>
          <w:rFonts w:hint="eastAsia" w:ascii="Times New Roman" w:hAnsi="Times New Roman" w:eastAsia="宋体" w:cs="Times New Roman"/>
          <w:color w:val="auto"/>
          <w:szCs w:val="21"/>
        </w:rPr>
        <w:t>在系统上公开资格和商务技术评审结果；</w:t>
      </w:r>
    </w:p>
    <w:p w14:paraId="7F004A61">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5.</w:t>
      </w:r>
      <w:r>
        <w:rPr>
          <w:rFonts w:hint="eastAsia" w:ascii="Times New Roman" w:hAnsi="Times New Roman" w:eastAsia="宋体" w:cs="Times New Roman"/>
          <w:color w:val="auto"/>
          <w:szCs w:val="21"/>
        </w:rPr>
        <w:t>在系统上公开报价开标情况；</w:t>
      </w:r>
    </w:p>
    <w:p w14:paraId="2152F662">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6.</w:t>
      </w:r>
      <w:r>
        <w:rPr>
          <w:rFonts w:hint="eastAsia" w:ascii="Times New Roman" w:hAnsi="Times New Roman" w:eastAsia="宋体" w:cs="Times New Roman"/>
          <w:color w:val="auto"/>
          <w:szCs w:val="21"/>
        </w:rPr>
        <w:t>评标委员会对报价情况进行评审；</w:t>
      </w:r>
    </w:p>
    <w:p w14:paraId="4D500CC3">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7.</w:t>
      </w:r>
      <w:r>
        <w:rPr>
          <w:rFonts w:hint="eastAsia" w:ascii="Times New Roman" w:hAnsi="Times New Roman" w:eastAsia="宋体" w:cs="Times New Roman"/>
          <w:color w:val="auto"/>
          <w:szCs w:val="21"/>
        </w:rPr>
        <w:t>在系统上公布评审结果。</w:t>
      </w:r>
    </w:p>
    <w:p w14:paraId="7425CA26">
      <w:pPr>
        <w:adjustRightInd w:val="0"/>
        <w:snapToGrid w:val="0"/>
        <w:spacing w:line="360" w:lineRule="auto"/>
        <w:ind w:firstLine="420" w:firstLineChars="200"/>
        <w:jc w:val="left"/>
        <w:rPr>
          <w:rFonts w:ascii="Times New Roman" w:hAnsi="Times New Roman" w:eastAsia="宋体" w:cs="Times New Roman"/>
          <w:color w:val="auto"/>
          <w:szCs w:val="20"/>
        </w:rPr>
      </w:pPr>
      <w:r>
        <w:rPr>
          <w:rFonts w:hint="eastAsia" w:ascii="Times New Roman" w:hAnsi="Times New Roman" w:eastAsia="宋体" w:cs="Times New Roman"/>
          <w:color w:val="auto"/>
          <w:szCs w:val="21"/>
        </w:rPr>
        <w:t>特别说明：政采云公司如对电子化开标及评审程序有调整的，按调整后的程序操作。</w:t>
      </w:r>
    </w:p>
    <w:p w14:paraId="2A3C4AE5">
      <w:pPr>
        <w:snapToGrid w:val="0"/>
        <w:spacing w:before="120" w:line="360" w:lineRule="auto"/>
        <w:ind w:right="-87" w:firstLine="3654" w:firstLineChars="1300"/>
        <w:outlineLvl w:val="1"/>
        <w:rPr>
          <w:rFonts w:ascii="Times New Roman" w:hAnsi="Times New Roman" w:eastAsia="宋体" w:cs="Times New Roman"/>
          <w:b/>
          <w:color w:val="auto"/>
          <w:sz w:val="28"/>
        </w:rPr>
      </w:pPr>
      <w:r>
        <w:rPr>
          <w:rFonts w:hint="eastAsia" w:ascii="Times New Roman" w:hAnsi="Times New Roman" w:eastAsia="宋体" w:cs="Times New Roman"/>
          <w:b/>
          <w:color w:val="auto"/>
          <w:sz w:val="28"/>
        </w:rPr>
        <w:t>五、评标</w:t>
      </w:r>
    </w:p>
    <w:p w14:paraId="59CA0C96">
      <w:pPr>
        <w:snapToGrid w:val="0"/>
        <w:spacing w:before="120" w:line="360" w:lineRule="auto"/>
        <w:ind w:right="-87"/>
        <w:rPr>
          <w:rFonts w:ascii="Times New Roman" w:hAnsi="Times New Roman" w:eastAsia="宋体" w:cs="Times New Roman"/>
          <w:b/>
          <w:color w:val="auto"/>
        </w:rPr>
      </w:pPr>
      <w:r>
        <w:rPr>
          <w:rFonts w:hint="eastAsia" w:ascii="Times New Roman" w:hAnsi="Times New Roman" w:eastAsia="宋体" w:cs="Times New Roman"/>
          <w:b/>
          <w:color w:val="auto"/>
        </w:rPr>
        <w:t>（一）组建评标委员会</w:t>
      </w:r>
    </w:p>
    <w:p w14:paraId="16E06B9F">
      <w:pPr>
        <w:snapToGrid w:val="0"/>
        <w:spacing w:before="120" w:line="360" w:lineRule="auto"/>
        <w:ind w:right="-87" w:firstLine="420" w:firstLineChars="20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rPr>
        <w:t>评标委员会由评审专家5人（含）以上单数</w:t>
      </w:r>
      <w:r>
        <w:rPr>
          <w:rFonts w:hint="eastAsia" w:ascii="Times New Roman" w:hAnsi="Times New Roman" w:eastAsia="宋体" w:cs="Times New Roman"/>
          <w:color w:val="auto"/>
          <w:lang w:val="en-US" w:eastAsia="zh-CN"/>
        </w:rPr>
        <w:t>组成。</w:t>
      </w:r>
    </w:p>
    <w:p w14:paraId="71E71A19">
      <w:pPr>
        <w:snapToGrid w:val="0"/>
        <w:spacing w:before="120" w:line="360" w:lineRule="auto"/>
        <w:ind w:right="-87"/>
        <w:rPr>
          <w:rFonts w:ascii="Times New Roman" w:hAnsi="Times New Roman" w:eastAsia="宋体" w:cs="Times New Roman"/>
          <w:b/>
          <w:color w:val="auto"/>
        </w:rPr>
      </w:pPr>
      <w:r>
        <w:rPr>
          <w:rFonts w:hint="eastAsia" w:ascii="Times New Roman" w:hAnsi="Times New Roman" w:eastAsia="宋体" w:cs="Times New Roman"/>
          <w:b/>
          <w:color w:val="auto"/>
        </w:rPr>
        <w:t>（二）评标程序</w:t>
      </w:r>
    </w:p>
    <w:p w14:paraId="1363F7A9">
      <w:pPr>
        <w:snapToGrid w:val="0"/>
        <w:spacing w:line="360" w:lineRule="auto"/>
        <w:ind w:right="-87"/>
        <w:rPr>
          <w:rFonts w:ascii="Times New Roman" w:hAnsi="Times New Roman" w:eastAsia="宋体" w:cs="Times New Roman"/>
          <w:color w:val="auto"/>
          <w:szCs w:val="21"/>
        </w:rPr>
      </w:pPr>
      <w:r>
        <w:rPr>
          <w:rFonts w:ascii="Times New Roman" w:hAnsi="Times New Roman" w:eastAsia="宋体" w:cs="Times New Roman"/>
          <w:b/>
          <w:color w:val="auto"/>
          <w:szCs w:val="21"/>
        </w:rPr>
        <w:t>1.</w:t>
      </w:r>
      <w:r>
        <w:rPr>
          <w:rFonts w:hint="eastAsia" w:ascii="Times New Roman" w:hAnsi="Times New Roman" w:eastAsia="宋体" w:cs="Times New Roman"/>
          <w:b/>
          <w:color w:val="auto"/>
          <w:szCs w:val="21"/>
        </w:rPr>
        <w:t>投标文件初审</w:t>
      </w:r>
    </w:p>
    <w:p w14:paraId="58087938">
      <w:pPr>
        <w:snapToGrid w:val="0"/>
        <w:spacing w:line="360" w:lineRule="auto"/>
        <w:ind w:right="-87" w:firstLine="420" w:firstLineChars="200"/>
        <w:rPr>
          <w:rFonts w:ascii="Times New Roman" w:hAnsi="Times New Roman" w:eastAsia="宋体" w:cs="Times New Roman"/>
          <w:b/>
          <w:color w:val="auto"/>
          <w:szCs w:val="21"/>
        </w:rPr>
      </w:pPr>
      <w:r>
        <w:rPr>
          <w:rFonts w:hint="eastAsia" w:ascii="Times New Roman" w:hAnsi="Times New Roman" w:eastAsia="宋体" w:cs="Times New Roman"/>
          <w:color w:val="auto"/>
          <w:szCs w:val="21"/>
        </w:rPr>
        <w:t>初审分为资格性检查和符合性检查。</w:t>
      </w:r>
    </w:p>
    <w:p w14:paraId="70ED708D">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1.1</w:t>
      </w:r>
      <w:r>
        <w:rPr>
          <w:rFonts w:hint="eastAsia" w:ascii="Times New Roman" w:hAnsi="Times New Roman" w:eastAsia="宋体" w:cs="Times New Roman"/>
          <w:color w:val="auto"/>
          <w:szCs w:val="21"/>
        </w:rPr>
        <w:t>资格性检查。依据法律法规和采购文件的规定，对投标文件中的资格证明等进行审查，以确定投标人是否具备投标资格。</w:t>
      </w:r>
    </w:p>
    <w:p w14:paraId="310C9ED8">
      <w:pPr>
        <w:adjustRightInd w:val="0"/>
        <w:snapToGrid w:val="0"/>
        <w:spacing w:line="360" w:lineRule="auto"/>
        <w:ind w:firstLine="420" w:firstLineChars="200"/>
        <w:jc w:val="left"/>
        <w:rPr>
          <w:rFonts w:ascii="Times New Roman" w:hAnsi="Times New Roman" w:eastAsia="宋体" w:cs="Times New Roman"/>
          <w:color w:val="auto"/>
          <w:szCs w:val="21"/>
        </w:rPr>
      </w:pPr>
      <w:r>
        <w:rPr>
          <w:rFonts w:ascii="Times New Roman" w:hAnsi="Times New Roman" w:eastAsia="宋体" w:cs="Times New Roman"/>
          <w:color w:val="auto"/>
          <w:szCs w:val="21"/>
        </w:rPr>
        <w:t>1.2</w:t>
      </w:r>
      <w:r>
        <w:rPr>
          <w:rFonts w:hint="eastAsia" w:ascii="Times New Roman" w:hAnsi="Times New Roman" w:eastAsia="宋体" w:cs="Times New Roman"/>
          <w:color w:val="auto"/>
          <w:szCs w:val="21"/>
        </w:rPr>
        <w:t>符合性检查。依据采购文件的规定，从投标文件的有效性、完整性和对采购文件的响应程度进行审查，以确定是否对采购文件的实质性要求作出响应。</w:t>
      </w:r>
    </w:p>
    <w:p w14:paraId="4FB06C53">
      <w:pPr>
        <w:snapToGrid w:val="0"/>
        <w:spacing w:line="360" w:lineRule="auto"/>
        <w:ind w:right="-87"/>
        <w:rPr>
          <w:rFonts w:ascii="Times New Roman" w:hAnsi="Times New Roman" w:eastAsia="宋体" w:cs="Times New Roman"/>
          <w:b/>
          <w:color w:val="auto"/>
          <w:sz w:val="24"/>
        </w:rPr>
      </w:pPr>
      <w:r>
        <w:rPr>
          <w:rFonts w:ascii="Times New Roman" w:hAnsi="Times New Roman" w:eastAsia="宋体" w:cs="Times New Roman"/>
          <w:b/>
          <w:color w:val="auto"/>
          <w:sz w:val="24"/>
        </w:rPr>
        <w:t>2.</w:t>
      </w:r>
      <w:r>
        <w:rPr>
          <w:rFonts w:hint="eastAsia" w:ascii="Times New Roman" w:hAnsi="Times New Roman" w:eastAsia="宋体" w:cs="Times New Roman"/>
          <w:b/>
          <w:color w:val="auto"/>
          <w:szCs w:val="21"/>
        </w:rPr>
        <w:t>实质审查</w:t>
      </w:r>
    </w:p>
    <w:p w14:paraId="04751A60">
      <w:pPr>
        <w:spacing w:line="360" w:lineRule="auto"/>
        <w:ind w:firstLine="420" w:firstLineChars="200"/>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w:t>
      </w:r>
      <w:r>
        <w:rPr>
          <w:rFonts w:ascii="Times New Roman" w:hAnsi="Times New Roman" w:eastAsia="宋体" w:cs="Times New Roman"/>
          <w:color w:val="auto"/>
          <w:kern w:val="0"/>
          <w:szCs w:val="21"/>
        </w:rPr>
        <w:t>1</w:t>
      </w:r>
      <w:r>
        <w:rPr>
          <w:rFonts w:hint="eastAsia" w:ascii="Times New Roman" w:hAnsi="Times New Roman" w:eastAsia="宋体" w:cs="Times New Roman"/>
          <w:color w:val="auto"/>
          <w:kern w:val="0"/>
          <w:szCs w:val="21"/>
        </w:rPr>
        <w:t>）评标委员会审查投标文件的实质性内容是否符合采购文件的实质性要求。</w:t>
      </w:r>
    </w:p>
    <w:p w14:paraId="5D97AA08">
      <w:pPr>
        <w:spacing w:line="360" w:lineRule="auto"/>
        <w:ind w:firstLine="420" w:firstLineChars="200"/>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w:t>
      </w:r>
      <w:r>
        <w:rPr>
          <w:rFonts w:ascii="Times New Roman" w:hAnsi="Times New Roman" w:eastAsia="宋体" w:cs="Times New Roman"/>
          <w:color w:val="auto"/>
          <w:kern w:val="0"/>
          <w:szCs w:val="21"/>
        </w:rPr>
        <w:t>2</w:t>
      </w:r>
      <w:r>
        <w:rPr>
          <w:rFonts w:hint="eastAsia" w:ascii="Times New Roman" w:hAnsi="Times New Roman" w:eastAsia="宋体" w:cs="Times New Roman"/>
          <w:color w:val="auto"/>
          <w:kern w:val="0"/>
          <w:szCs w:val="21"/>
        </w:rPr>
        <w:t>）评标委员会将根据投标人的投标文件进行审查、核对，如有疑问，将对投标人通过电子系统进行询标，投标人向评标委员会澄清有关问题，并最终以电子形式进行答复。投标人拒绝澄清或者澄清的内容改变了投标文件的实质性内容的，评标委员会有权对该投标文件作出不利于投标人的评判。</w:t>
      </w:r>
    </w:p>
    <w:p w14:paraId="57FD43BC">
      <w:pPr>
        <w:spacing w:line="360" w:lineRule="auto"/>
        <w:ind w:firstLine="420" w:firstLineChars="200"/>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w:t>
      </w:r>
      <w:r>
        <w:rPr>
          <w:rFonts w:ascii="Times New Roman" w:hAnsi="Times New Roman" w:eastAsia="宋体" w:cs="Times New Roman"/>
          <w:color w:val="auto"/>
          <w:kern w:val="0"/>
          <w:szCs w:val="21"/>
        </w:rPr>
        <w:t>3</w:t>
      </w:r>
      <w:r>
        <w:rPr>
          <w:rFonts w:hint="eastAsia" w:ascii="Times New Roman" w:hAnsi="Times New Roman" w:eastAsia="宋体" w:cs="Times New Roman"/>
          <w:color w:val="auto"/>
          <w:kern w:val="0"/>
          <w:szCs w:val="21"/>
        </w:rPr>
        <w:t>）评审小组商务、技术方案响应性评定；</w:t>
      </w:r>
    </w:p>
    <w:p w14:paraId="18E55EE1">
      <w:pPr>
        <w:spacing w:line="360" w:lineRule="auto"/>
        <w:ind w:firstLine="420" w:firstLineChars="200"/>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w:t>
      </w:r>
      <w:r>
        <w:rPr>
          <w:rFonts w:ascii="Times New Roman" w:hAnsi="Times New Roman" w:eastAsia="宋体" w:cs="Times New Roman"/>
          <w:color w:val="auto"/>
          <w:kern w:val="0"/>
          <w:szCs w:val="21"/>
        </w:rPr>
        <w:t>4</w:t>
      </w:r>
      <w:r>
        <w:rPr>
          <w:rFonts w:hint="eastAsia" w:ascii="Times New Roman" w:hAnsi="Times New Roman" w:eastAsia="宋体" w:cs="Times New Roman"/>
          <w:color w:val="auto"/>
          <w:kern w:val="0"/>
          <w:szCs w:val="21"/>
        </w:rPr>
        <w:t>）各投标人的技术得分为所有评委的有效评分的算术平均数，由指定专人进行计算复核。</w:t>
      </w:r>
    </w:p>
    <w:p w14:paraId="1E47F5C5">
      <w:pPr>
        <w:spacing w:line="360" w:lineRule="auto"/>
        <w:ind w:firstLine="420" w:firstLineChars="200"/>
        <w:rPr>
          <w:rFonts w:ascii="Times New Roman" w:hAnsi="Times New Roman" w:eastAsia="宋体" w:cs="Times New Roman"/>
          <w:b/>
          <w:color w:val="auto"/>
          <w:szCs w:val="21"/>
        </w:rPr>
      </w:pPr>
      <w:r>
        <w:rPr>
          <w:rFonts w:hint="eastAsia" w:ascii="Times New Roman" w:hAnsi="Times New Roman" w:eastAsia="宋体" w:cs="Times New Roman"/>
          <w:color w:val="auto"/>
          <w:kern w:val="0"/>
          <w:szCs w:val="21"/>
        </w:rPr>
        <w:t>（</w:t>
      </w:r>
      <w:r>
        <w:rPr>
          <w:rFonts w:ascii="Times New Roman" w:hAnsi="Times New Roman" w:eastAsia="宋体" w:cs="Times New Roman"/>
          <w:color w:val="auto"/>
          <w:kern w:val="0"/>
          <w:szCs w:val="21"/>
        </w:rPr>
        <w:t>5</w:t>
      </w:r>
      <w:r>
        <w:rPr>
          <w:rFonts w:hint="eastAsia" w:ascii="Times New Roman" w:hAnsi="Times New Roman" w:eastAsia="宋体" w:cs="Times New Roman"/>
          <w:color w:val="auto"/>
          <w:kern w:val="0"/>
          <w:szCs w:val="21"/>
        </w:rPr>
        <w:t>）评标委员会完成评标后，评委对各部分得分汇总，计算出本项目综合评估分。评标委员会按评标原则通过电子系统向采购人及采购代理机构提交评审报告。</w:t>
      </w:r>
    </w:p>
    <w:p w14:paraId="132C95C7">
      <w:pPr>
        <w:spacing w:line="360" w:lineRule="auto"/>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（三）澄清问题的形式</w:t>
      </w:r>
    </w:p>
    <w:p w14:paraId="42CAE707">
      <w:pPr>
        <w:snapToGrid w:val="0"/>
        <w:spacing w:line="360" w:lineRule="auto"/>
        <w:ind w:left="228" w:right="-87" w:firstLine="420" w:firstLineChars="200"/>
        <w:rPr>
          <w:rFonts w:ascii="Times New Roman" w:hAnsi="Times New Roman" w:eastAsia="宋体" w:cs="Times New Roman"/>
          <w:color w:val="auto"/>
        </w:rPr>
      </w:pPr>
      <w:r>
        <w:rPr>
          <w:rFonts w:hint="eastAsia" w:ascii="Times New Roman" w:hAnsi="Times New Roman" w:eastAsia="宋体" w:cs="Times New Roman"/>
          <w:color w:val="auto"/>
        </w:rPr>
        <w:t>对投标文件中含义不明确、同类问题表述不一致或者有明显文字和计算错误的内容，评标委员会可要求投标人作出必要的澄清、说明或者纠正。投标人与评审小组</w:t>
      </w:r>
      <w:r>
        <w:rPr>
          <w:rFonts w:hint="eastAsia" w:ascii="Times New Roman" w:hAnsi="Times New Roman" w:eastAsia="宋体" w:cs="Times New Roman"/>
          <w:color w:val="auto"/>
          <w:szCs w:val="21"/>
        </w:rPr>
        <w:t>通过电子交易平台交换数据电文的形式进行</w:t>
      </w:r>
      <w:r>
        <w:rPr>
          <w:rFonts w:hint="eastAsia" w:ascii="Times New Roman" w:hAnsi="Times New Roman" w:eastAsia="宋体" w:cs="Times New Roman"/>
          <w:color w:val="auto"/>
        </w:rPr>
        <w:t>，给予投标人提交澄清说明或补正的时间不少于半个小时，投标人已经明确表示澄清说明或补正完毕的除外。不得超出投标文件的范围或者改变投标文件的实质性内容。</w:t>
      </w:r>
    </w:p>
    <w:p w14:paraId="7DE34B16">
      <w:pPr>
        <w:keepNext w:val="0"/>
        <w:keepLines w:val="0"/>
        <w:pageBreakBefore w:val="0"/>
        <w:kinsoku/>
        <w:wordWrap/>
        <w:overflowPunct/>
        <w:topLinePunct w:val="0"/>
        <w:autoSpaceDE/>
        <w:autoSpaceDN/>
        <w:bidi w:val="0"/>
        <w:adjustRightInd/>
        <w:snapToGrid w:val="0"/>
        <w:spacing w:line="360" w:lineRule="auto"/>
        <w:ind w:right="0"/>
        <w:textAlignment w:val="auto"/>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（四）错误修正</w:t>
      </w:r>
    </w:p>
    <w:p w14:paraId="551085AB">
      <w:pPr>
        <w:keepNext w:val="0"/>
        <w:keepLines w:val="0"/>
        <w:pageBreakBefore w:val="0"/>
        <w:kinsoku/>
        <w:wordWrap/>
        <w:overflowPunct/>
        <w:topLinePunct w:val="0"/>
        <w:autoSpaceDE/>
        <w:autoSpaceDN/>
        <w:bidi w:val="0"/>
        <w:adjustRightInd/>
        <w:snapToGrid w:val="0"/>
        <w:spacing w:line="360" w:lineRule="auto"/>
        <w:ind w:right="0" w:firstLine="415" w:firstLineChars="198"/>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投标文件如果出现计算或表达上的错误，修正错误的原则如下：</w:t>
      </w:r>
    </w:p>
    <w:p w14:paraId="13D44CFA">
      <w:pPr>
        <w:keepNext w:val="0"/>
        <w:keepLines w:val="0"/>
        <w:pageBreakBefore w:val="0"/>
        <w:kinsoku/>
        <w:wordWrap/>
        <w:overflowPunct/>
        <w:topLinePunct w:val="0"/>
        <w:autoSpaceDE/>
        <w:autoSpaceDN/>
        <w:bidi w:val="0"/>
        <w:adjustRightInd/>
        <w:snapToGrid w:val="0"/>
        <w:spacing w:line="360" w:lineRule="auto"/>
        <w:ind w:right="0" w:firstLine="415" w:firstLineChars="198"/>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1.投标文件中开标一览表（报价表）内容与投标文件中相应内容不一致的，以开标一览表（报价表）为准；</w:t>
      </w:r>
    </w:p>
    <w:p w14:paraId="61C29479">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2.大写金额和小写金额不一致的，以大写金额为准；</w:t>
      </w:r>
    </w:p>
    <w:p w14:paraId="4F6D9C8B">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3.单价金额小数点或者百分比有明显错位的，以开标一览表的总价为准，并修改单价；</w:t>
      </w:r>
    </w:p>
    <w:p w14:paraId="6D80C000">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ascii="Times New Roman" w:hAnsi="Times New Roman" w:eastAsia="宋体" w:cs="Times New Roman"/>
          <w:color w:val="auto"/>
          <w:szCs w:val="21"/>
        </w:rPr>
      </w:pPr>
      <w:r>
        <w:rPr>
          <w:rFonts w:hint="eastAsia" w:ascii="Times New Roman" w:hAnsi="Times New Roman" w:eastAsia="宋体" w:cs="Times New Roman"/>
          <w:color w:val="auto"/>
          <w:szCs w:val="21"/>
        </w:rPr>
        <w:t>4.总价金额与按单价汇总金额不一致的，以单价金额计算结果为准。</w:t>
      </w:r>
    </w:p>
    <w:p w14:paraId="24ED1C81">
      <w:pPr>
        <w:keepNext w:val="0"/>
        <w:keepLines w:val="0"/>
        <w:pageBreakBefore w:val="0"/>
        <w:kinsoku/>
        <w:wordWrap/>
        <w:overflowPunct/>
        <w:topLinePunct w:val="0"/>
        <w:autoSpaceDE/>
        <w:autoSpaceDN/>
        <w:bidi w:val="0"/>
        <w:adjustRightInd/>
        <w:snapToGrid w:val="0"/>
        <w:spacing w:line="360" w:lineRule="auto"/>
        <w:ind w:right="0" w:firstLine="417" w:firstLineChars="198"/>
        <w:textAlignment w:val="auto"/>
        <w:rPr>
          <w:rFonts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同时出现两种以上不一致的，按照前款规定的顺序修正。</w:t>
      </w:r>
    </w:p>
    <w:p w14:paraId="28CCE643">
      <w:pPr>
        <w:keepNext w:val="0"/>
        <w:keepLines w:val="0"/>
        <w:pageBreakBefore w:val="0"/>
        <w:kinsoku/>
        <w:wordWrap/>
        <w:overflowPunct/>
        <w:topLinePunct w:val="0"/>
        <w:autoSpaceDE/>
        <w:autoSpaceDN/>
        <w:bidi w:val="0"/>
        <w:adjustRightInd/>
        <w:snapToGrid w:val="0"/>
        <w:spacing w:line="360" w:lineRule="auto"/>
        <w:ind w:right="0" w:firstLine="417" w:firstLineChars="198"/>
        <w:textAlignment w:val="auto"/>
        <w:rPr>
          <w:rFonts w:ascii="Times New Roman" w:hAnsi="Times New Roman" w:eastAsia="宋体" w:cs="Times New Roman"/>
          <w:color w:val="auto"/>
          <w:szCs w:val="21"/>
        </w:rPr>
      </w:pPr>
      <w:r>
        <w:rPr>
          <w:rFonts w:ascii="Times New Roman" w:hAnsi="Times New Roman" w:eastAsia="宋体" w:cs="Times New Roman"/>
          <w:b/>
          <w:color w:val="auto"/>
          <w:szCs w:val="21"/>
        </w:rPr>
        <w:t>按上述修正错误的原则及方法调整或修正投标文件的投标报价，投标人通过电文并签章确认后，调整后的投标报价对投标人具有约束作用。如果投标人不接受修正后的报价，则其投标将作为无效投标处理。</w:t>
      </w:r>
    </w:p>
    <w:p w14:paraId="39EE488D">
      <w:pPr>
        <w:keepNext w:val="0"/>
        <w:keepLines w:val="0"/>
        <w:pageBreakBefore w:val="0"/>
        <w:kinsoku/>
        <w:wordWrap/>
        <w:overflowPunct/>
        <w:topLinePunct w:val="0"/>
        <w:autoSpaceDE/>
        <w:autoSpaceDN/>
        <w:bidi w:val="0"/>
        <w:adjustRightInd/>
        <w:snapToGrid w:val="0"/>
        <w:spacing w:line="360" w:lineRule="auto"/>
        <w:ind w:right="0"/>
        <w:jc w:val="left"/>
        <w:textAlignment w:val="auto"/>
        <w:rPr>
          <w:rFonts w:hint="eastAsia" w:ascii="Times New Roman" w:hAnsi="Times New Roman" w:eastAsia="宋体" w:cs="Times New Roman"/>
          <w:b/>
          <w:color w:val="auto"/>
          <w:szCs w:val="21"/>
          <w:lang w:eastAsia="zh-CN"/>
        </w:rPr>
      </w:pPr>
      <w:r>
        <w:rPr>
          <w:rFonts w:hint="eastAsia" w:ascii="Times New Roman" w:hAnsi="Times New Roman" w:eastAsia="宋体" w:cs="Times New Roman"/>
          <w:b/>
          <w:color w:val="auto"/>
          <w:szCs w:val="21"/>
        </w:rPr>
        <w:t>（五）评标原则和</w:t>
      </w:r>
      <w:r>
        <w:rPr>
          <w:rFonts w:hint="eastAsia" w:ascii="Times New Roman" w:hAnsi="Times New Roman" w:eastAsia="宋体" w:cs="Times New Roman"/>
          <w:b/>
          <w:color w:val="auto"/>
          <w:szCs w:val="21"/>
          <w:lang w:eastAsia="zh-CN"/>
        </w:rPr>
        <w:t>评标方法</w:t>
      </w:r>
    </w:p>
    <w:p w14:paraId="30D2A364">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评标委员会必须公平、公正、客观，不带任何倾向性和启发性；不得向外界透露任何与评标有关的内容；任何单位和个人不得干扰、影响评标的正常进行；评标委员会及有关工作人员不得私下与投标人接触。</w:t>
      </w:r>
    </w:p>
    <w:p w14:paraId="623F5B43">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ascii="Times New Roman" w:hAnsi="Times New Roman" w:eastAsia="宋体" w:cs="Times New Roman"/>
          <w:color w:val="auto"/>
          <w:sz w:val="24"/>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lang w:eastAsia="zh-CN"/>
        </w:rPr>
        <w:t>评标方法</w:t>
      </w:r>
      <w:r>
        <w:rPr>
          <w:rFonts w:hint="eastAsia" w:ascii="Times New Roman" w:hAnsi="Times New Roman" w:eastAsia="宋体" w:cs="Times New Roman"/>
          <w:color w:val="auto"/>
          <w:szCs w:val="21"/>
        </w:rPr>
        <w:t>。本项目</w:t>
      </w:r>
      <w:r>
        <w:rPr>
          <w:rFonts w:hint="eastAsia" w:ascii="Times New Roman" w:hAnsi="Times New Roman" w:eastAsia="宋体" w:cs="Times New Roman"/>
          <w:color w:val="auto"/>
          <w:szCs w:val="21"/>
          <w:lang w:eastAsia="zh-CN"/>
        </w:rPr>
        <w:t>评标方法</w:t>
      </w:r>
      <w:r>
        <w:rPr>
          <w:rFonts w:hint="eastAsia" w:ascii="Times New Roman" w:hAnsi="Times New Roman" w:eastAsia="宋体" w:cs="Times New Roman"/>
          <w:color w:val="auto"/>
          <w:szCs w:val="21"/>
        </w:rPr>
        <w:t>是</w:t>
      </w:r>
      <w:r>
        <w:rPr>
          <w:rFonts w:hint="eastAsia" w:ascii="Times New Roman" w:hAnsi="Times New Roman" w:eastAsia="宋体" w:cs="Times New Roman"/>
          <w:color w:val="auto"/>
          <w:szCs w:val="21"/>
          <w:u w:val="single"/>
        </w:rPr>
        <w:t>综合评分法</w:t>
      </w:r>
      <w:r>
        <w:rPr>
          <w:rFonts w:hint="eastAsia" w:ascii="Times New Roman" w:hAnsi="Times New Roman" w:eastAsia="宋体" w:cs="Times New Roman"/>
          <w:color w:val="auto"/>
          <w:szCs w:val="21"/>
        </w:rPr>
        <w:t>，具体评标内容及评分标准等详见《第四章：</w:t>
      </w:r>
      <w:r>
        <w:rPr>
          <w:rFonts w:hint="eastAsia" w:ascii="Times New Roman" w:hAnsi="Times New Roman" w:eastAsia="宋体" w:cs="Times New Roman"/>
          <w:color w:val="auto"/>
          <w:szCs w:val="21"/>
          <w:lang w:eastAsia="zh-CN"/>
        </w:rPr>
        <w:t>评标方法</w:t>
      </w:r>
      <w:r>
        <w:rPr>
          <w:rFonts w:hint="eastAsia" w:ascii="Times New Roman" w:hAnsi="Times New Roman" w:eastAsia="宋体" w:cs="Times New Roman"/>
          <w:color w:val="auto"/>
          <w:szCs w:val="21"/>
        </w:rPr>
        <w:t>及评分标准》。</w:t>
      </w:r>
    </w:p>
    <w:p w14:paraId="5C50CDE7">
      <w:pPr>
        <w:keepNext w:val="0"/>
        <w:keepLines w:val="0"/>
        <w:pageBreakBefore w:val="0"/>
        <w:widowControl/>
        <w:kinsoku/>
        <w:wordWrap/>
        <w:overflowPunct/>
        <w:topLinePunct w:val="0"/>
        <w:autoSpaceDE/>
        <w:autoSpaceDN/>
        <w:bidi w:val="0"/>
        <w:adjustRightInd/>
        <w:snapToGrid w:val="0"/>
        <w:spacing w:line="360" w:lineRule="auto"/>
        <w:ind w:right="0"/>
        <w:textAlignment w:val="auto"/>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（六）评标过程的监控</w:t>
      </w:r>
    </w:p>
    <w:p w14:paraId="66996CEA">
      <w:pPr>
        <w:keepNext w:val="0"/>
        <w:keepLines w:val="0"/>
        <w:pageBreakBefore w:val="0"/>
        <w:kinsoku/>
        <w:wordWrap/>
        <w:overflowPunct/>
        <w:topLinePunct w:val="0"/>
        <w:autoSpaceDE/>
        <w:autoSpaceDN/>
        <w:bidi w:val="0"/>
        <w:adjustRightInd/>
        <w:snapToGrid w:val="0"/>
        <w:spacing w:line="360" w:lineRule="auto"/>
        <w:ind w:right="0" w:firstLine="420" w:firstLineChars="200"/>
        <w:textAlignment w:val="auto"/>
        <w:rPr>
          <w:rFonts w:ascii="Times New Roman" w:hAnsi="Times New Roman" w:eastAsia="宋体" w:cs="Times New Roman"/>
          <w:b/>
          <w:color w:val="auto"/>
          <w:sz w:val="28"/>
          <w:szCs w:val="24"/>
        </w:rPr>
      </w:pPr>
      <w:r>
        <w:rPr>
          <w:rFonts w:hint="eastAsia" w:ascii="Times New Roman" w:hAnsi="Times New Roman" w:eastAsia="宋体" w:cs="Times New Roman"/>
          <w:color w:val="auto"/>
          <w:szCs w:val="24"/>
        </w:rPr>
        <w:t>本项目评标过程实行全程录音、录像监控。</w:t>
      </w:r>
    </w:p>
    <w:p w14:paraId="0C0B7814">
      <w:pPr>
        <w:snapToGrid w:val="0"/>
        <w:spacing w:before="120" w:line="360" w:lineRule="auto"/>
        <w:ind w:right="-87"/>
        <w:jc w:val="center"/>
        <w:outlineLvl w:val="1"/>
        <w:rPr>
          <w:rFonts w:ascii="Times New Roman" w:hAnsi="Times New Roman" w:eastAsia="宋体" w:cs="Times New Roman"/>
          <w:b/>
          <w:color w:val="auto"/>
          <w:sz w:val="28"/>
        </w:rPr>
      </w:pPr>
      <w:r>
        <w:rPr>
          <w:rFonts w:hint="eastAsia" w:ascii="Times New Roman" w:hAnsi="Times New Roman" w:eastAsia="宋体" w:cs="Times New Roman"/>
          <w:b/>
          <w:color w:val="auto"/>
          <w:sz w:val="28"/>
        </w:rPr>
        <w:t>六、定标</w:t>
      </w:r>
    </w:p>
    <w:p w14:paraId="45B140F8">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（一）确定中标人。</w:t>
      </w:r>
    </w:p>
    <w:p w14:paraId="7298F854">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ascii="Times New Roman" w:hAnsi="Times New Roman" w:eastAsia="宋体" w:cs="Times New Roman"/>
          <w:b/>
          <w:color w:val="auto"/>
          <w:szCs w:val="21"/>
        </w:rPr>
      </w:pPr>
      <w:r>
        <w:rPr>
          <w:rFonts w:hint="eastAsia" w:ascii="Times New Roman" w:hAnsi="Times New Roman" w:eastAsia="宋体" w:cs="Times New Roman"/>
          <w:color w:val="auto"/>
          <w:szCs w:val="21"/>
        </w:rPr>
        <w:t>本项目由采购人事先授权评审小组确定候选中标人</w:t>
      </w: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名。经采购人确认后，确定项目中标人，同时发布采购结果公告</w:t>
      </w:r>
      <w:r>
        <w:rPr>
          <w:rFonts w:hint="eastAsia" w:ascii="Times New Roman" w:hAnsi="Times New Roman" w:eastAsia="宋体" w:cs="Times New Roman"/>
          <w:b/>
          <w:color w:val="auto"/>
          <w:szCs w:val="21"/>
        </w:rPr>
        <w:t>（中标人通过政采云系统领取中标通知书）。</w:t>
      </w:r>
    </w:p>
    <w:p w14:paraId="06CB14D8">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采购代理机构在评标结束后在</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个工作日内将评审报告交采购人确认。</w:t>
      </w:r>
    </w:p>
    <w:p w14:paraId="006F22AA">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投标人对评审结果无异议的，采购人应在收到评审报告后</w:t>
      </w:r>
      <w:r>
        <w:rPr>
          <w:rFonts w:ascii="Times New Roman" w:hAnsi="Times New Roman" w:eastAsia="宋体" w:cs="Times New Roman"/>
          <w:color w:val="auto"/>
          <w:szCs w:val="21"/>
        </w:rPr>
        <w:t>5</w:t>
      </w:r>
      <w:r>
        <w:rPr>
          <w:rFonts w:hint="eastAsia" w:ascii="Times New Roman" w:hAnsi="Times New Roman" w:eastAsia="宋体" w:cs="Times New Roman"/>
          <w:color w:val="auto"/>
          <w:szCs w:val="21"/>
        </w:rPr>
        <w:t>个工作日内对评审结果进行确认。如有投标人对评审结果提出质疑的，采购人可在质疑处理完毕后确定中标人。</w:t>
      </w:r>
    </w:p>
    <w:p w14:paraId="03F03A9B">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采购人依法确定中标人后</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个工作日内，采购代理机构发出《中标通知书》</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rPr>
        <w:t>并同时在相关网站上发布中标公告。</w:t>
      </w:r>
    </w:p>
    <w:p w14:paraId="0322447A">
      <w:pPr>
        <w:ind w:firstLine="420" w:firstLineChars="200"/>
        <w:rPr>
          <w:rFonts w:ascii="Times New Roman" w:hAnsi="Times New Roman" w:eastAsia="宋体" w:cs="Times New Roman"/>
          <w:color w:val="auto"/>
          <w:szCs w:val="20"/>
        </w:rPr>
      </w:pPr>
    </w:p>
    <w:p w14:paraId="5975C41F">
      <w:pPr>
        <w:snapToGrid w:val="0"/>
        <w:spacing w:before="120" w:line="240" w:lineRule="auto"/>
        <w:ind w:right="-87" w:firstLine="3345" w:firstLineChars="1190"/>
        <w:outlineLvl w:val="1"/>
        <w:rPr>
          <w:rFonts w:ascii="Times New Roman" w:hAnsi="Times New Roman" w:eastAsia="宋体" w:cs="Times New Roman"/>
          <w:b/>
          <w:color w:val="auto"/>
          <w:sz w:val="28"/>
        </w:rPr>
      </w:pPr>
      <w:r>
        <w:rPr>
          <w:rFonts w:hint="eastAsia" w:ascii="Times New Roman" w:hAnsi="Times New Roman" w:eastAsia="宋体" w:cs="Times New Roman"/>
          <w:b/>
          <w:color w:val="auto"/>
          <w:sz w:val="28"/>
        </w:rPr>
        <w:t>七、合同授予</w:t>
      </w:r>
    </w:p>
    <w:p w14:paraId="2E952271">
      <w:pPr>
        <w:widowControl/>
        <w:numPr>
          <w:ilvl w:val="0"/>
          <w:numId w:val="11"/>
        </w:numPr>
        <w:overflowPunct w:val="0"/>
        <w:autoSpaceDE w:val="0"/>
        <w:autoSpaceDN w:val="0"/>
        <w:adjustRightInd w:val="0"/>
        <w:snapToGrid w:val="0"/>
        <w:spacing w:line="240" w:lineRule="auto"/>
        <w:ind w:right="-87"/>
        <w:jc w:val="left"/>
        <w:textAlignment w:val="baseline"/>
        <w:rPr>
          <w:rFonts w:ascii="Times New Roman" w:hAnsi="Times New Roman" w:eastAsia="宋体" w:cs="Times New Roman"/>
          <w:b/>
          <w:color w:val="auto"/>
          <w:sz w:val="24"/>
        </w:rPr>
      </w:pPr>
      <w:r>
        <w:rPr>
          <w:rFonts w:hint="eastAsia" w:ascii="Times New Roman" w:hAnsi="Times New Roman" w:eastAsia="宋体" w:cs="Times New Roman"/>
          <w:b/>
          <w:color w:val="auto"/>
          <w:sz w:val="24"/>
        </w:rPr>
        <w:t>签订合同</w:t>
      </w:r>
    </w:p>
    <w:p w14:paraId="1F08EBF0">
      <w:pPr>
        <w:snapToGrid w:val="0"/>
        <w:spacing w:line="336" w:lineRule="auto"/>
        <w:ind w:right="-87" w:firstLine="424" w:firstLineChars="202"/>
        <w:rPr>
          <w:rFonts w:ascii="Times New Roman" w:hAnsi="Times New Roman" w:eastAsia="宋体" w:cs="Times New Roman"/>
          <w:color w:val="auto"/>
        </w:rPr>
      </w:pPr>
      <w:r>
        <w:rPr>
          <w:rFonts w:ascii="Times New Roman" w:hAnsi="Times New Roman" w:eastAsia="宋体" w:cs="Times New Roman"/>
          <w:color w:val="auto"/>
        </w:rPr>
        <w:t>1.</w:t>
      </w:r>
      <w:r>
        <w:rPr>
          <w:rFonts w:hint="eastAsia" w:ascii="Times New Roman" w:hAnsi="Times New Roman" w:eastAsia="宋体" w:cs="Times New Roman"/>
          <w:color w:val="auto"/>
        </w:rPr>
        <w:t>采购人与中标人应当在《中标通知书》发出之日起</w:t>
      </w:r>
      <w:r>
        <w:rPr>
          <w:rFonts w:ascii="Times New Roman" w:hAnsi="Times New Roman" w:eastAsia="宋体" w:cs="Times New Roman"/>
          <w:color w:val="auto"/>
        </w:rPr>
        <w:t>30</w:t>
      </w:r>
      <w:r>
        <w:rPr>
          <w:rFonts w:hint="eastAsia" w:ascii="Times New Roman" w:hAnsi="Times New Roman" w:eastAsia="宋体" w:cs="Times New Roman"/>
          <w:color w:val="auto"/>
        </w:rPr>
        <w:t>日内签订政府采购合同。同时，采购代理机构对合同内容进行审查，如发现与采购结果和投标承诺内容不一致的，应予以纠正。</w:t>
      </w:r>
    </w:p>
    <w:p w14:paraId="0096E504">
      <w:pPr>
        <w:keepNext w:val="0"/>
        <w:keepLines w:val="0"/>
        <w:pageBreakBefore w:val="0"/>
        <w:widowControl w:val="0"/>
        <w:kinsoku/>
        <w:wordWrap/>
        <w:overflowPunct/>
        <w:topLinePunct w:val="0"/>
        <w:autoSpaceDE/>
        <w:autoSpaceDN/>
        <w:bidi w:val="0"/>
        <w:adjustRightInd/>
        <w:snapToGrid w:val="0"/>
        <w:spacing w:line="336" w:lineRule="auto"/>
        <w:ind w:firstLine="415" w:firstLineChars="198"/>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中标人拖延、拒签合同的，将上报监管部门并取消中标资格。</w:t>
      </w:r>
    </w:p>
    <w:p w14:paraId="3B81F313">
      <w:pPr>
        <w:keepNext w:val="0"/>
        <w:keepLines w:val="0"/>
        <w:pageBreakBefore w:val="0"/>
        <w:widowControl w:val="0"/>
        <w:kinsoku/>
        <w:wordWrap/>
        <w:overflowPunct/>
        <w:topLinePunct w:val="0"/>
        <w:autoSpaceDE/>
        <w:autoSpaceDN/>
        <w:bidi w:val="0"/>
        <w:adjustRightInd/>
        <w:snapToGrid w:val="0"/>
        <w:spacing w:line="336" w:lineRule="auto"/>
        <w:ind w:firstLine="415" w:firstLineChars="198"/>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Times New Roman" w:hAnsi="Times New Roman" w:eastAsia="宋体" w:cs="Times New Roman"/>
          <w:color w:val="auto"/>
          <w:szCs w:val="21"/>
        </w:rPr>
        <w:t>中标人和采购人签订合同，按合同规定的供货时间供货并安装调试完毕。</w:t>
      </w:r>
    </w:p>
    <w:p w14:paraId="79CB7623">
      <w:pPr>
        <w:keepNext w:val="0"/>
        <w:keepLines w:val="0"/>
        <w:pageBreakBefore w:val="0"/>
        <w:widowControl w:val="0"/>
        <w:kinsoku/>
        <w:wordWrap/>
        <w:overflowPunct/>
        <w:topLinePunct w:val="0"/>
        <w:autoSpaceDE/>
        <w:autoSpaceDN/>
        <w:bidi w:val="0"/>
        <w:adjustRightInd/>
        <w:snapToGrid w:val="0"/>
        <w:spacing w:line="336" w:lineRule="auto"/>
        <w:ind w:firstLine="415" w:firstLineChars="198"/>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4.</w:t>
      </w:r>
      <w:r>
        <w:rPr>
          <w:rFonts w:hint="eastAsia" w:ascii="Times New Roman" w:hAnsi="Times New Roman" w:eastAsia="宋体" w:cs="Times New Roman"/>
          <w:color w:val="auto"/>
          <w:szCs w:val="21"/>
        </w:rPr>
        <w:t>已确定中标或者成交供应商但尚未签订政府采购合同的，认定中标或者成交结果无效。合格供应商符合法定数量时，可以从合格的中标或者成交候选人中另行确定中标或者成交供应商的，应当要求采购人依法另行确定中标、成交供应商；否则责令重新开展采购活动。</w:t>
      </w:r>
    </w:p>
    <w:p w14:paraId="19F71D25">
      <w:pPr>
        <w:keepNext w:val="0"/>
        <w:keepLines w:val="0"/>
        <w:pageBreakBefore w:val="0"/>
        <w:widowControl w:val="0"/>
        <w:kinsoku/>
        <w:wordWrap/>
        <w:overflowPunct/>
        <w:topLinePunct w:val="0"/>
        <w:autoSpaceDE/>
        <w:autoSpaceDN/>
        <w:bidi w:val="0"/>
        <w:adjustRightInd/>
        <w:snapToGrid w:val="0"/>
        <w:spacing w:line="336" w:lineRule="auto"/>
        <w:textAlignment w:val="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（二）合同公告</w:t>
      </w:r>
    </w:p>
    <w:p w14:paraId="11F19140">
      <w:pPr>
        <w:keepNext w:val="0"/>
        <w:keepLines w:val="0"/>
        <w:pageBreakBefore w:val="0"/>
        <w:widowControl w:val="0"/>
        <w:kinsoku/>
        <w:wordWrap/>
        <w:overflowPunct/>
        <w:topLinePunct w:val="0"/>
        <w:autoSpaceDE/>
        <w:autoSpaceDN/>
        <w:bidi w:val="0"/>
        <w:adjustRightInd/>
        <w:snapToGrid w:val="0"/>
        <w:spacing w:line="336" w:lineRule="auto"/>
        <w:ind w:firstLine="415" w:firstLineChars="198"/>
        <w:textAlignment w:val="auto"/>
        <w:rPr>
          <w:rFonts w:ascii="Times New Roman" w:hAnsi="Times New Roman" w:eastAsia="黑体" w:cs="Times New Roman"/>
          <w:color w:val="auto"/>
          <w:sz w:val="30"/>
        </w:rPr>
      </w:pPr>
      <w:r>
        <w:rPr>
          <w:rFonts w:hint="eastAsia" w:ascii="Times New Roman" w:hAnsi="Times New Roman" w:eastAsia="宋体" w:cs="Times New Roman"/>
          <w:color w:val="auto"/>
          <w:szCs w:val="21"/>
        </w:rPr>
        <w:t>采购人应当自政府采购合同签订之日起</w:t>
      </w:r>
      <w:r>
        <w:rPr>
          <w:rFonts w:ascii="Times New Roman" w:hAnsi="Times New Roman" w:eastAsia="宋体" w:cs="Times New Roman"/>
          <w:color w:val="auto"/>
          <w:szCs w:val="21"/>
        </w:rPr>
        <w:t>2</w:t>
      </w:r>
      <w:r>
        <w:rPr>
          <w:rFonts w:hint="eastAsia" w:ascii="Times New Roman" w:hAnsi="Times New Roman" w:eastAsia="宋体" w:cs="Times New Roman"/>
          <w:color w:val="auto"/>
          <w:szCs w:val="21"/>
        </w:rPr>
        <w:t>个工作日内，将政府采购合同在省级以上人民政府财政部门指定的媒体上公告，但政府采购合同中涉及国家秘密、商业秘密的内容除外。</w:t>
      </w:r>
    </w:p>
    <w:p w14:paraId="0C6807FB">
      <w:pPr>
        <w:snapToGrid w:val="0"/>
        <w:spacing w:before="120" w:line="480" w:lineRule="auto"/>
        <w:ind w:right="-87"/>
        <w:jc w:val="both"/>
        <w:rPr>
          <w:rFonts w:hint="eastAsia" w:ascii="Times New Roman" w:hAnsi="Times New Roman" w:eastAsia="黑体" w:cs="Times New Roman"/>
          <w:color w:val="auto"/>
          <w:sz w:val="30"/>
        </w:rPr>
      </w:pPr>
    </w:p>
    <w:p w14:paraId="501602A7">
      <w:pPr>
        <w:snapToGrid w:val="0"/>
        <w:spacing w:before="120" w:line="480" w:lineRule="auto"/>
        <w:ind w:right="-87"/>
        <w:jc w:val="center"/>
        <w:rPr>
          <w:rFonts w:hint="eastAsia" w:ascii="Times New Roman" w:hAnsi="Times New Roman" w:eastAsia="黑体" w:cs="Times New Roman"/>
          <w:color w:val="auto"/>
          <w:sz w:val="30"/>
        </w:rPr>
      </w:pPr>
    </w:p>
    <w:p w14:paraId="633F546D">
      <w:pPr>
        <w:snapToGrid w:val="0"/>
        <w:spacing w:before="120" w:line="480" w:lineRule="auto"/>
        <w:ind w:right="-87"/>
        <w:jc w:val="center"/>
        <w:rPr>
          <w:rFonts w:hint="eastAsia" w:ascii="Times New Roman" w:hAnsi="Times New Roman" w:eastAsia="黑体" w:cs="Times New Roman"/>
          <w:color w:val="auto"/>
          <w:sz w:val="30"/>
        </w:rPr>
      </w:pPr>
    </w:p>
    <w:p w14:paraId="1529B472">
      <w:pPr>
        <w:snapToGrid w:val="0"/>
        <w:spacing w:before="120" w:line="480" w:lineRule="auto"/>
        <w:ind w:right="-87"/>
        <w:jc w:val="center"/>
        <w:rPr>
          <w:rFonts w:hint="eastAsia" w:ascii="Times New Roman" w:hAnsi="Times New Roman" w:eastAsia="黑体" w:cs="Times New Roman"/>
          <w:color w:val="auto"/>
          <w:sz w:val="30"/>
        </w:rPr>
      </w:pPr>
    </w:p>
    <w:p w14:paraId="4221332A">
      <w:pPr>
        <w:snapToGrid w:val="0"/>
        <w:spacing w:before="120" w:line="480" w:lineRule="auto"/>
        <w:ind w:right="-87"/>
        <w:jc w:val="center"/>
        <w:rPr>
          <w:rFonts w:hint="eastAsia" w:ascii="Times New Roman" w:hAnsi="Times New Roman" w:eastAsia="黑体" w:cs="Times New Roman"/>
          <w:color w:val="auto"/>
          <w:sz w:val="30"/>
        </w:rPr>
      </w:pPr>
    </w:p>
    <w:p w14:paraId="7B2A7810">
      <w:pPr>
        <w:snapToGrid w:val="0"/>
        <w:spacing w:before="120" w:line="480" w:lineRule="auto"/>
        <w:ind w:right="-87"/>
        <w:jc w:val="center"/>
        <w:rPr>
          <w:rFonts w:hint="eastAsia" w:ascii="Times New Roman" w:hAnsi="Times New Roman" w:eastAsia="黑体" w:cs="Times New Roman"/>
          <w:color w:val="auto"/>
          <w:sz w:val="30"/>
        </w:rPr>
      </w:pPr>
    </w:p>
    <w:p w14:paraId="40C3ADCC">
      <w:pPr>
        <w:snapToGrid w:val="0"/>
        <w:spacing w:before="120" w:line="480" w:lineRule="auto"/>
        <w:ind w:right="-87"/>
        <w:jc w:val="center"/>
        <w:rPr>
          <w:rFonts w:hint="eastAsia" w:ascii="Times New Roman" w:hAnsi="Times New Roman" w:eastAsia="黑体" w:cs="Times New Roman"/>
          <w:color w:val="auto"/>
          <w:sz w:val="30"/>
        </w:rPr>
      </w:pPr>
    </w:p>
    <w:p w14:paraId="404E84B1">
      <w:pPr>
        <w:snapToGrid w:val="0"/>
        <w:spacing w:before="120" w:line="480" w:lineRule="auto"/>
        <w:ind w:right="-87"/>
        <w:jc w:val="center"/>
        <w:rPr>
          <w:rFonts w:hint="eastAsia" w:ascii="Times New Roman" w:hAnsi="Times New Roman" w:eastAsia="黑体" w:cs="Times New Roman"/>
          <w:color w:val="auto"/>
          <w:sz w:val="30"/>
        </w:rPr>
      </w:pPr>
    </w:p>
    <w:p w14:paraId="21EB7A18">
      <w:pPr>
        <w:snapToGrid w:val="0"/>
        <w:spacing w:before="120" w:line="480" w:lineRule="auto"/>
        <w:ind w:right="-87"/>
        <w:jc w:val="center"/>
        <w:rPr>
          <w:rFonts w:hint="eastAsia" w:ascii="Times New Roman" w:hAnsi="Times New Roman" w:eastAsia="黑体" w:cs="Times New Roman"/>
          <w:color w:val="auto"/>
          <w:sz w:val="30"/>
        </w:rPr>
      </w:pPr>
    </w:p>
    <w:p w14:paraId="559ED974">
      <w:pPr>
        <w:snapToGrid w:val="0"/>
        <w:spacing w:before="120" w:line="480" w:lineRule="auto"/>
        <w:ind w:right="-87"/>
        <w:jc w:val="center"/>
        <w:rPr>
          <w:rFonts w:hint="eastAsia" w:ascii="Times New Roman" w:hAnsi="Times New Roman" w:eastAsia="黑体" w:cs="Times New Roman"/>
          <w:color w:val="auto"/>
          <w:sz w:val="30"/>
        </w:rPr>
      </w:pPr>
    </w:p>
    <w:p w14:paraId="23F3539A">
      <w:pPr>
        <w:snapToGrid w:val="0"/>
        <w:spacing w:before="120" w:line="480" w:lineRule="auto"/>
        <w:ind w:right="-87"/>
        <w:jc w:val="center"/>
        <w:rPr>
          <w:rFonts w:hint="eastAsia" w:ascii="Times New Roman" w:hAnsi="Times New Roman" w:eastAsia="黑体" w:cs="Times New Roman"/>
          <w:color w:val="auto"/>
          <w:sz w:val="30"/>
        </w:rPr>
      </w:pPr>
    </w:p>
    <w:p w14:paraId="6C6B3421">
      <w:pPr>
        <w:snapToGrid w:val="0"/>
        <w:spacing w:before="120" w:line="480" w:lineRule="auto"/>
        <w:ind w:right="-87"/>
        <w:jc w:val="center"/>
        <w:rPr>
          <w:rFonts w:hint="eastAsia" w:ascii="Times New Roman" w:hAnsi="Times New Roman" w:eastAsia="黑体" w:cs="Times New Roman"/>
          <w:color w:val="auto"/>
          <w:sz w:val="30"/>
        </w:rPr>
      </w:pPr>
    </w:p>
    <w:p w14:paraId="4EAAB6C9">
      <w:pPr>
        <w:snapToGrid w:val="0"/>
        <w:spacing w:before="120" w:line="480" w:lineRule="auto"/>
        <w:ind w:right="-87"/>
        <w:jc w:val="center"/>
        <w:rPr>
          <w:rFonts w:hint="eastAsia" w:ascii="Times New Roman" w:hAnsi="Times New Roman" w:eastAsia="黑体" w:cs="Times New Roman"/>
          <w:color w:val="auto"/>
          <w:sz w:val="30"/>
        </w:rPr>
      </w:pPr>
    </w:p>
    <w:p w14:paraId="6F84F236">
      <w:pPr>
        <w:snapToGrid w:val="0"/>
        <w:spacing w:before="120" w:line="480" w:lineRule="auto"/>
        <w:ind w:right="-87"/>
        <w:jc w:val="center"/>
        <w:rPr>
          <w:rFonts w:hint="eastAsia" w:ascii="Times New Roman" w:hAnsi="Times New Roman" w:eastAsia="黑体" w:cs="Times New Roman"/>
          <w:color w:val="auto"/>
          <w:sz w:val="30"/>
        </w:rPr>
      </w:pPr>
    </w:p>
    <w:p w14:paraId="08E2E516">
      <w:pPr>
        <w:snapToGrid w:val="0"/>
        <w:spacing w:before="120" w:line="480" w:lineRule="auto"/>
        <w:ind w:right="-87"/>
        <w:jc w:val="center"/>
        <w:rPr>
          <w:rFonts w:ascii="Times New Roman" w:hAnsi="Times New Roman" w:eastAsia="黑体" w:cs="Times New Roman"/>
          <w:color w:val="auto"/>
          <w:sz w:val="30"/>
        </w:rPr>
      </w:pPr>
      <w:r>
        <w:rPr>
          <w:rFonts w:hint="eastAsia" w:ascii="Times New Roman" w:hAnsi="Times New Roman" w:eastAsia="黑体" w:cs="Times New Roman"/>
          <w:color w:val="auto"/>
          <w:sz w:val="30"/>
        </w:rPr>
        <w:t xml:space="preserve">第四章  </w:t>
      </w:r>
      <w:r>
        <w:rPr>
          <w:rFonts w:hint="eastAsia" w:ascii="Times New Roman" w:hAnsi="Times New Roman" w:eastAsia="黑体" w:cs="Times New Roman"/>
          <w:color w:val="auto"/>
          <w:sz w:val="30"/>
          <w:lang w:eastAsia="zh-CN"/>
        </w:rPr>
        <w:t>评标方法</w:t>
      </w:r>
      <w:r>
        <w:rPr>
          <w:rFonts w:hint="eastAsia" w:ascii="Times New Roman" w:hAnsi="Times New Roman" w:eastAsia="黑体" w:cs="Times New Roman"/>
          <w:color w:val="auto"/>
          <w:sz w:val="30"/>
        </w:rPr>
        <w:t>及评分标准</w:t>
      </w:r>
    </w:p>
    <w:p w14:paraId="32CEF910">
      <w:pPr>
        <w:snapToGrid w:val="0"/>
        <w:spacing w:before="120" w:line="480" w:lineRule="auto"/>
        <w:ind w:right="-87" w:firstLine="103" w:firstLineChars="49"/>
        <w:outlineLvl w:val="0"/>
        <w:rPr>
          <w:rFonts w:ascii="Times New Roman" w:hAnsi="Times New Roman" w:eastAsia="宋体" w:cs="Times New Roman"/>
          <w:color w:val="auto"/>
        </w:rPr>
      </w:pPr>
      <w:r>
        <w:rPr>
          <w:rFonts w:hint="eastAsia" w:ascii="Times New Roman" w:hAnsi="Times New Roman" w:eastAsia="宋体" w:cs="Times New Roman"/>
          <w:b/>
          <w:color w:val="auto"/>
        </w:rPr>
        <w:t>综合评分法</w:t>
      </w:r>
    </w:p>
    <w:p w14:paraId="4551FA8E">
      <w:pPr>
        <w:snapToGrid w:val="0"/>
        <w:spacing w:line="336" w:lineRule="auto"/>
        <w:ind w:right="-87" w:firstLine="1672" w:firstLineChars="694"/>
        <w:rPr>
          <w:rFonts w:hint="eastAsia" w:ascii="Times New Roman" w:hAnsi="Times New Roman" w:eastAsia="宋体" w:cs="Times New Roman"/>
          <w:b/>
          <w:color w:val="auto"/>
          <w:sz w:val="24"/>
          <w:szCs w:val="24"/>
          <w:lang w:eastAsia="zh-CN"/>
        </w:rPr>
      </w:pPr>
      <w:r>
        <w:rPr>
          <w:rFonts w:hint="eastAsia" w:ascii="Times New Roman" w:hAnsi="Times New Roman" w:eastAsia="宋体" w:cs="Times New Roman"/>
          <w:b/>
          <w:color w:val="auto"/>
          <w:sz w:val="24"/>
          <w:szCs w:val="24"/>
          <w:lang w:eastAsia="zh-CN"/>
        </w:rPr>
        <w:t>2025年舟山市生态环境监测能力建设项目评标方法</w:t>
      </w:r>
    </w:p>
    <w:p w14:paraId="139A1B75">
      <w:pPr>
        <w:snapToGrid w:val="0"/>
        <w:spacing w:line="336" w:lineRule="auto"/>
        <w:ind w:right="-87" w:firstLine="420"/>
        <w:rPr>
          <w:rFonts w:ascii="Times New Roman" w:hAnsi="Times New Roman" w:eastAsia="宋体" w:cs="Times New Roman"/>
          <w:color w:val="auto"/>
        </w:rPr>
      </w:pPr>
      <w:r>
        <w:rPr>
          <w:rFonts w:hint="eastAsia" w:ascii="Times New Roman" w:hAnsi="Times New Roman" w:eastAsia="宋体" w:cs="Times New Roman"/>
          <w:color w:val="auto"/>
        </w:rPr>
        <w:t>为公正、公平、科学地选择中标人，根据《中华人民共和国政府采购法》等有关法律法规的规定，并结合本项目的实际，制定本办法。</w:t>
      </w:r>
    </w:p>
    <w:p w14:paraId="43BFE63A">
      <w:pPr>
        <w:snapToGrid w:val="0"/>
        <w:spacing w:line="336" w:lineRule="auto"/>
        <w:ind w:right="-87" w:firstLine="420"/>
        <w:rPr>
          <w:rFonts w:ascii="Times New Roman" w:hAnsi="Times New Roman" w:eastAsia="宋体" w:cs="Times New Roman"/>
          <w:color w:val="auto"/>
        </w:rPr>
      </w:pPr>
      <w:r>
        <w:rPr>
          <w:rFonts w:hint="eastAsia" w:ascii="Times New Roman" w:hAnsi="Times New Roman" w:eastAsia="宋体" w:cs="Times New Roman"/>
          <w:color w:val="auto"/>
          <w:szCs w:val="21"/>
        </w:rPr>
        <w:t>本办法适用于</w:t>
      </w:r>
      <w:r>
        <w:rPr>
          <w:rFonts w:hint="eastAsia" w:ascii="Times New Roman" w:hAnsi="Times New Roman" w:eastAsia="宋体" w:cs="Times New Roman"/>
          <w:color w:val="auto"/>
          <w:szCs w:val="21"/>
          <w:lang w:eastAsia="zh-CN"/>
        </w:rPr>
        <w:t>2025年舟山市生态环境监测能力建设项目</w:t>
      </w:r>
      <w:r>
        <w:rPr>
          <w:rFonts w:hint="eastAsia" w:ascii="Times New Roman" w:hAnsi="Times New Roman" w:eastAsia="宋体" w:cs="Times New Roman"/>
          <w:color w:val="auto"/>
          <w:szCs w:val="21"/>
        </w:rPr>
        <w:t>的评标。</w:t>
      </w:r>
    </w:p>
    <w:p w14:paraId="48059539">
      <w:pPr>
        <w:snapToGrid w:val="0"/>
        <w:spacing w:line="336" w:lineRule="auto"/>
        <w:ind w:left="756" w:leftChars="114" w:hanging="517" w:hangingChars="245"/>
        <w:rPr>
          <w:rFonts w:hint="eastAsia" w:ascii="宋体" w:hAnsi="宋体" w:eastAsia="宋体" w:cs="Times New Roman"/>
          <w:color w:val="auto"/>
        </w:rPr>
      </w:pPr>
      <w:r>
        <w:rPr>
          <w:rFonts w:hint="eastAsia" w:ascii="Times New Roman" w:hAnsi="Times New Roman" w:eastAsia="宋体" w:cs="Times New Roman"/>
          <w:b/>
          <w:color w:val="auto"/>
        </w:rPr>
        <w:t>中标依据：</w:t>
      </w:r>
      <w:r>
        <w:rPr>
          <w:rFonts w:hint="eastAsia" w:ascii="宋体" w:hAnsi="宋体" w:eastAsia="宋体" w:cs="Times New Roman"/>
          <w:color w:val="auto"/>
          <w:u w:val="single" w:color="000000"/>
        </w:rPr>
        <w:t>综合</w:t>
      </w:r>
      <w:r>
        <w:rPr>
          <w:rFonts w:hint="eastAsia" w:ascii="宋体" w:hAnsi="宋体" w:eastAsia="宋体" w:cs="Times New Roman"/>
          <w:color w:val="auto"/>
          <w:u w:val="single" w:color="000000"/>
          <w:lang w:val="en-US" w:eastAsia="zh-CN"/>
        </w:rPr>
        <w:t>得</w:t>
      </w:r>
      <w:r>
        <w:rPr>
          <w:rFonts w:hint="eastAsia" w:ascii="宋体" w:hAnsi="宋体" w:eastAsia="宋体" w:cs="Times New Roman"/>
          <w:color w:val="auto"/>
          <w:u w:val="single" w:color="000000"/>
        </w:rPr>
        <w:t>分</w:t>
      </w:r>
      <w:r>
        <w:rPr>
          <w:rFonts w:hint="eastAsia" w:ascii="宋体" w:hAnsi="宋体" w:eastAsia="宋体" w:cs="Times New Roman"/>
          <w:color w:val="auto"/>
        </w:rPr>
        <w:t>最高者为中标候选人。</w:t>
      </w:r>
    </w:p>
    <w:p w14:paraId="67E74FF5">
      <w:pPr>
        <w:snapToGrid w:val="0"/>
        <w:spacing w:line="336" w:lineRule="auto"/>
        <w:ind w:left="756" w:leftChars="114" w:hanging="517" w:hangingChars="245"/>
        <w:rPr>
          <w:rFonts w:ascii="Times New Roman" w:hAnsi="Times New Roman" w:eastAsia="宋体" w:cs="Times New Roman"/>
          <w:b/>
          <w:color w:val="auto"/>
        </w:rPr>
      </w:pPr>
      <w:r>
        <w:rPr>
          <w:rFonts w:hint="eastAsia" w:ascii="宋体" w:hAnsi="宋体" w:eastAsia="宋体" w:cs="Times New Roman"/>
          <w:b/>
          <w:color w:val="auto"/>
          <w:u w:val="single"/>
        </w:rPr>
        <w:t>最高限价：预算金额。</w:t>
      </w:r>
    </w:p>
    <w:p w14:paraId="36F55381">
      <w:pPr>
        <w:snapToGrid w:val="0"/>
        <w:spacing w:line="336" w:lineRule="auto"/>
        <w:ind w:left="756" w:leftChars="114" w:hanging="517" w:hangingChars="245"/>
        <w:rPr>
          <w:rFonts w:ascii="Times New Roman" w:hAnsi="Times New Roman" w:eastAsia="宋体" w:cs="Times New Roman"/>
          <w:b/>
          <w:color w:val="auto"/>
        </w:rPr>
      </w:pPr>
      <w:r>
        <w:rPr>
          <w:rFonts w:hint="eastAsia" w:ascii="Times New Roman" w:hAnsi="Times New Roman" w:eastAsia="宋体" w:cs="Times New Roman"/>
          <w:b/>
          <w:color w:val="auto"/>
        </w:rPr>
        <w:t>报价的计分方法：</w:t>
      </w:r>
    </w:p>
    <w:p w14:paraId="16CB8D7A">
      <w:pPr>
        <w:autoSpaceDE w:val="0"/>
        <w:autoSpaceDN w:val="0"/>
        <w:adjustRightInd w:val="0"/>
        <w:snapToGrid w:val="0"/>
        <w:spacing w:line="336" w:lineRule="auto"/>
        <w:ind w:right="-87" w:firstLine="411" w:firstLineChars="196"/>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满足投标文件要求</w:t>
      </w:r>
      <w:r>
        <w:rPr>
          <w:rFonts w:hint="eastAsia" w:ascii="宋体" w:hAnsi="宋体" w:eastAsia="宋体" w:cs="宋体"/>
          <w:color w:val="auto"/>
          <w:kern w:val="0"/>
          <w:sz w:val="22"/>
        </w:rPr>
        <w:t>且投</w:t>
      </w:r>
      <w:r>
        <w:rPr>
          <w:rFonts w:hint="eastAsia" w:ascii="Times New Roman" w:hAnsi="Times New Roman" w:eastAsia="宋体" w:cs="Times New Roman"/>
          <w:color w:val="auto"/>
          <w:lang w:val="zh-CN"/>
        </w:rPr>
        <w:t>标报价最低的为评标基准价，其价格分为满分，其他投标人的价格分按下列公式计算：</w:t>
      </w:r>
    </w:p>
    <w:p w14:paraId="3088D86E">
      <w:pPr>
        <w:autoSpaceDE w:val="0"/>
        <w:autoSpaceDN w:val="0"/>
        <w:adjustRightInd w:val="0"/>
        <w:snapToGrid w:val="0"/>
        <w:spacing w:line="336" w:lineRule="auto"/>
        <w:ind w:right="-87" w:firstLine="550" w:firstLineChars="262"/>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价格得分＝（评标基准价</w:t>
      </w:r>
      <w:r>
        <w:rPr>
          <w:rFonts w:ascii="Times New Roman" w:hAnsi="Times New Roman" w:eastAsia="宋体" w:cs="Times New Roman"/>
          <w:color w:val="auto"/>
          <w:lang w:val="zh-CN"/>
        </w:rPr>
        <w:t>/</w:t>
      </w:r>
      <w:r>
        <w:rPr>
          <w:rFonts w:hint="eastAsia" w:ascii="Times New Roman" w:hAnsi="Times New Roman" w:eastAsia="宋体" w:cs="Times New Roman"/>
          <w:color w:val="auto"/>
          <w:lang w:val="zh-CN"/>
        </w:rPr>
        <w:t>投标报价）</w:t>
      </w:r>
      <w:r>
        <w:rPr>
          <w:rFonts w:ascii="Times New Roman" w:hAnsi="Times New Roman" w:eastAsia="宋体" w:cs="Times New Roman"/>
          <w:color w:val="auto"/>
          <w:lang w:val="zh-CN"/>
        </w:rPr>
        <w:t>×</w:t>
      </w:r>
      <w:r>
        <w:rPr>
          <w:rFonts w:hint="eastAsia" w:ascii="Times New Roman" w:hAnsi="Times New Roman" w:eastAsia="宋体" w:cs="Times New Roman"/>
          <w:color w:val="auto"/>
          <w:lang w:val="zh-CN"/>
        </w:rPr>
        <w:t>价格权重</w:t>
      </w:r>
      <w:r>
        <w:rPr>
          <w:rFonts w:ascii="Times New Roman" w:hAnsi="Times New Roman" w:eastAsia="宋体" w:cs="Times New Roman"/>
          <w:color w:val="auto"/>
          <w:lang w:val="zh-CN"/>
        </w:rPr>
        <w:t>×100</w:t>
      </w:r>
      <w:r>
        <w:rPr>
          <w:rFonts w:hint="eastAsia" w:ascii="Times New Roman" w:hAnsi="Times New Roman" w:eastAsia="宋体" w:cs="Times New Roman"/>
          <w:color w:val="auto"/>
          <w:lang w:val="zh-CN"/>
        </w:rPr>
        <w:t>。</w:t>
      </w:r>
    </w:p>
    <w:tbl>
      <w:tblPr>
        <w:tblStyle w:val="61"/>
        <w:tblW w:w="774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40"/>
        <w:gridCol w:w="2700"/>
      </w:tblGrid>
      <w:tr w14:paraId="7EAB0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40" w:type="dxa"/>
            <w:tcBorders>
              <w:top w:val="single" w:color="auto" w:sz="4" w:space="0"/>
              <w:left w:val="single" w:color="auto" w:sz="4" w:space="0"/>
              <w:bottom w:val="single" w:color="auto" w:sz="4" w:space="0"/>
              <w:right w:val="single" w:color="auto" w:sz="4" w:space="0"/>
            </w:tcBorders>
            <w:vAlign w:val="center"/>
          </w:tcPr>
          <w:p w14:paraId="2EE5870F">
            <w:pPr>
              <w:spacing w:line="336" w:lineRule="auto"/>
              <w:ind w:right="-341"/>
              <w:jc w:val="center"/>
              <w:rPr>
                <w:rFonts w:ascii="Times New Roman" w:hAnsi="Times New Roman" w:eastAsia="宋体" w:cs="Times New Roman"/>
                <w:color w:val="auto"/>
              </w:rPr>
            </w:pPr>
            <w:r>
              <w:rPr>
                <w:rFonts w:hint="eastAsia" w:ascii="Times New Roman" w:hAnsi="Times New Roman" w:eastAsia="宋体" w:cs="Times New Roman"/>
                <w:color w:val="auto"/>
                <w:lang w:val="zh-CN"/>
              </w:rPr>
              <w:t>评价指标和各评价权重指标：</w:t>
            </w:r>
            <w:r>
              <w:rPr>
                <w:rFonts w:hint="eastAsia" w:ascii="Times New Roman" w:hAnsi="Times New Roman" w:eastAsia="宋体" w:cs="Times New Roman"/>
                <w:color w:val="auto"/>
              </w:rPr>
              <w:t>评标指标</w:t>
            </w:r>
          </w:p>
        </w:tc>
        <w:tc>
          <w:tcPr>
            <w:tcW w:w="2700" w:type="dxa"/>
            <w:tcBorders>
              <w:top w:val="single" w:color="auto" w:sz="4" w:space="0"/>
              <w:left w:val="single" w:color="auto" w:sz="4" w:space="0"/>
              <w:bottom w:val="single" w:color="auto" w:sz="4" w:space="0"/>
              <w:right w:val="single" w:color="auto" w:sz="4" w:space="0"/>
            </w:tcBorders>
            <w:vAlign w:val="center"/>
          </w:tcPr>
          <w:p w14:paraId="73B275E1">
            <w:pPr>
              <w:spacing w:line="336" w:lineRule="auto"/>
              <w:ind w:right="-341"/>
              <w:jc w:val="center"/>
              <w:rPr>
                <w:rFonts w:ascii="Times New Roman" w:hAnsi="Times New Roman" w:eastAsia="宋体" w:cs="Times New Roman"/>
                <w:color w:val="auto"/>
              </w:rPr>
            </w:pPr>
            <w:r>
              <w:rPr>
                <w:rFonts w:hint="eastAsia" w:ascii="Times New Roman" w:hAnsi="Times New Roman" w:eastAsia="宋体" w:cs="Times New Roman"/>
                <w:color w:val="auto"/>
              </w:rPr>
              <w:t>权重（％）</w:t>
            </w:r>
          </w:p>
        </w:tc>
      </w:tr>
      <w:tr w14:paraId="643DE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5040" w:type="dxa"/>
            <w:tcBorders>
              <w:top w:val="single" w:color="auto" w:sz="4" w:space="0"/>
              <w:left w:val="single" w:color="auto" w:sz="4" w:space="0"/>
              <w:bottom w:val="single" w:color="auto" w:sz="4" w:space="0"/>
              <w:right w:val="single" w:color="auto" w:sz="4" w:space="0"/>
            </w:tcBorders>
            <w:vAlign w:val="center"/>
          </w:tcPr>
          <w:p w14:paraId="4006F1E0">
            <w:pPr>
              <w:spacing w:line="336" w:lineRule="auto"/>
              <w:ind w:right="-341"/>
              <w:jc w:val="center"/>
              <w:rPr>
                <w:rFonts w:ascii="Times New Roman" w:hAnsi="Times New Roman" w:eastAsia="宋体" w:cs="Times New Roman"/>
                <w:color w:val="auto"/>
              </w:rPr>
            </w:pPr>
            <w:r>
              <w:rPr>
                <w:rFonts w:hint="eastAsia" w:ascii="Times New Roman" w:hAnsi="Times New Roman" w:eastAsia="宋体" w:cs="Times New Roman"/>
                <w:color w:val="auto"/>
              </w:rPr>
              <w:t>商务、技术部分</w:t>
            </w:r>
          </w:p>
        </w:tc>
        <w:tc>
          <w:tcPr>
            <w:tcW w:w="2700" w:type="dxa"/>
            <w:tcBorders>
              <w:top w:val="single" w:color="auto" w:sz="4" w:space="0"/>
              <w:left w:val="single" w:color="auto" w:sz="4" w:space="0"/>
              <w:bottom w:val="single" w:color="auto" w:sz="4" w:space="0"/>
              <w:right w:val="single" w:color="auto" w:sz="4" w:space="0"/>
            </w:tcBorders>
            <w:vAlign w:val="center"/>
          </w:tcPr>
          <w:p w14:paraId="31F22B8C">
            <w:pPr>
              <w:spacing w:line="336" w:lineRule="auto"/>
              <w:ind w:right="-341"/>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65</w:t>
            </w:r>
          </w:p>
        </w:tc>
      </w:tr>
      <w:tr w14:paraId="6BFCC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040" w:type="dxa"/>
            <w:tcBorders>
              <w:top w:val="single" w:color="auto" w:sz="4" w:space="0"/>
              <w:left w:val="single" w:color="auto" w:sz="4" w:space="0"/>
              <w:bottom w:val="single" w:color="auto" w:sz="4" w:space="0"/>
              <w:right w:val="single" w:color="auto" w:sz="4" w:space="0"/>
            </w:tcBorders>
            <w:vAlign w:val="center"/>
          </w:tcPr>
          <w:p w14:paraId="1D3DFC14">
            <w:pPr>
              <w:spacing w:line="336" w:lineRule="auto"/>
              <w:ind w:right="-341"/>
              <w:jc w:val="center"/>
              <w:rPr>
                <w:rFonts w:ascii="Times New Roman" w:hAnsi="Times New Roman" w:eastAsia="宋体" w:cs="Times New Roman"/>
                <w:color w:val="auto"/>
              </w:rPr>
            </w:pPr>
            <w:r>
              <w:rPr>
                <w:rFonts w:hint="eastAsia" w:ascii="Times New Roman" w:hAnsi="Times New Roman" w:eastAsia="宋体" w:cs="Times New Roman"/>
                <w:color w:val="auto"/>
              </w:rPr>
              <w:t>投标报价</w:t>
            </w:r>
          </w:p>
        </w:tc>
        <w:tc>
          <w:tcPr>
            <w:tcW w:w="2700" w:type="dxa"/>
            <w:tcBorders>
              <w:top w:val="single" w:color="auto" w:sz="4" w:space="0"/>
              <w:left w:val="single" w:color="auto" w:sz="4" w:space="0"/>
              <w:bottom w:val="single" w:color="auto" w:sz="4" w:space="0"/>
              <w:right w:val="single" w:color="auto" w:sz="4" w:space="0"/>
            </w:tcBorders>
            <w:vAlign w:val="center"/>
          </w:tcPr>
          <w:p w14:paraId="68AB8806">
            <w:pPr>
              <w:spacing w:line="336" w:lineRule="auto"/>
              <w:ind w:right="-341"/>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35</w:t>
            </w:r>
          </w:p>
        </w:tc>
      </w:tr>
      <w:tr w14:paraId="7A2DA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040" w:type="dxa"/>
            <w:tcBorders>
              <w:top w:val="single" w:color="auto" w:sz="4" w:space="0"/>
              <w:left w:val="single" w:color="auto" w:sz="4" w:space="0"/>
              <w:bottom w:val="single" w:color="auto" w:sz="4" w:space="0"/>
              <w:right w:val="single" w:color="auto" w:sz="4" w:space="0"/>
            </w:tcBorders>
            <w:vAlign w:val="center"/>
          </w:tcPr>
          <w:p w14:paraId="44CC03EC">
            <w:pPr>
              <w:spacing w:line="336" w:lineRule="auto"/>
              <w:ind w:right="-341"/>
              <w:jc w:val="center"/>
              <w:rPr>
                <w:rFonts w:ascii="Times New Roman" w:hAnsi="Times New Roman" w:eastAsia="宋体" w:cs="Times New Roman"/>
                <w:color w:val="auto"/>
              </w:rPr>
            </w:pPr>
            <w:r>
              <w:rPr>
                <w:rFonts w:hint="eastAsia" w:ascii="Times New Roman" w:hAnsi="Times New Roman" w:eastAsia="宋体" w:cs="Times New Roman"/>
                <w:color w:val="auto"/>
              </w:rPr>
              <w:t>合计</w:t>
            </w:r>
          </w:p>
        </w:tc>
        <w:tc>
          <w:tcPr>
            <w:tcW w:w="2700" w:type="dxa"/>
            <w:tcBorders>
              <w:top w:val="single" w:color="auto" w:sz="4" w:space="0"/>
              <w:left w:val="single" w:color="auto" w:sz="4" w:space="0"/>
              <w:bottom w:val="single" w:color="auto" w:sz="4" w:space="0"/>
              <w:right w:val="single" w:color="auto" w:sz="4" w:space="0"/>
            </w:tcBorders>
            <w:vAlign w:val="center"/>
          </w:tcPr>
          <w:p w14:paraId="39AF5FB6">
            <w:pPr>
              <w:spacing w:line="336" w:lineRule="auto"/>
              <w:ind w:right="-341"/>
              <w:jc w:val="center"/>
              <w:rPr>
                <w:rFonts w:ascii="Times New Roman" w:hAnsi="Times New Roman" w:eastAsia="宋体" w:cs="Times New Roman"/>
                <w:b/>
                <w:bCs/>
                <w:color w:val="auto"/>
              </w:rPr>
            </w:pPr>
            <w:r>
              <w:rPr>
                <w:rFonts w:ascii="Times New Roman" w:hAnsi="Times New Roman" w:eastAsia="宋体" w:cs="Times New Roman"/>
                <w:b/>
                <w:bCs/>
                <w:color w:val="auto"/>
              </w:rPr>
              <w:t>100</w:t>
            </w:r>
          </w:p>
        </w:tc>
      </w:tr>
    </w:tbl>
    <w:p w14:paraId="65BFDA82">
      <w:pPr>
        <w:autoSpaceDE w:val="0"/>
        <w:autoSpaceDN w:val="0"/>
        <w:adjustRightInd w:val="0"/>
        <w:spacing w:line="336" w:lineRule="auto"/>
        <w:ind w:right="-341" w:firstLine="424" w:firstLineChars="202"/>
        <w:rPr>
          <w:rFonts w:ascii="Times New Roman" w:hAnsi="Times New Roman" w:eastAsia="宋体" w:cs="Times New Roman"/>
          <w:color w:val="auto"/>
        </w:rPr>
      </w:pPr>
      <w:r>
        <w:rPr>
          <w:rFonts w:hint="eastAsia" w:ascii="宋体" w:hAnsi="宋体" w:eastAsia="宋体" w:cs="Times New Roman"/>
          <w:color w:val="auto"/>
          <w:u w:val="none" w:color="auto"/>
        </w:rPr>
        <w:t>综合</w:t>
      </w:r>
      <w:r>
        <w:rPr>
          <w:rFonts w:hint="eastAsia" w:ascii="宋体" w:hAnsi="宋体" w:eastAsia="宋体" w:cs="Times New Roman"/>
          <w:color w:val="auto"/>
          <w:u w:val="none" w:color="auto"/>
          <w:lang w:val="en-US" w:eastAsia="zh-CN"/>
        </w:rPr>
        <w:t>得</w:t>
      </w:r>
      <w:r>
        <w:rPr>
          <w:rFonts w:hint="eastAsia" w:ascii="Times New Roman" w:hAnsi="Times New Roman" w:eastAsia="宋体" w:cs="Times New Roman"/>
          <w:color w:val="auto"/>
          <w:u w:val="none" w:color="auto"/>
        </w:rPr>
        <w:t>分</w:t>
      </w:r>
      <w:r>
        <w:rPr>
          <w:rFonts w:ascii="Times New Roman" w:hAnsi="Times New Roman" w:eastAsia="宋体" w:cs="Times New Roman"/>
          <w:color w:val="auto"/>
        </w:rPr>
        <w:t>=</w:t>
      </w:r>
      <w:r>
        <w:rPr>
          <w:rFonts w:hint="eastAsia" w:ascii="Times New Roman" w:hAnsi="Times New Roman" w:eastAsia="宋体" w:cs="Times New Roman"/>
          <w:color w:val="auto"/>
        </w:rPr>
        <w:t>商务技术得分＋价格得分</w:t>
      </w:r>
      <w:r>
        <w:rPr>
          <w:rFonts w:ascii="Times New Roman" w:hAnsi="Times New Roman" w:eastAsia="宋体" w:cs="Times New Roman"/>
          <w:color w:val="auto"/>
        </w:rPr>
        <w:t>(</w:t>
      </w:r>
      <w:r>
        <w:rPr>
          <w:rFonts w:hint="eastAsia" w:ascii="Times New Roman" w:hAnsi="Times New Roman" w:eastAsia="宋体" w:cs="Times New Roman"/>
          <w:color w:val="auto"/>
        </w:rPr>
        <w:t>评分过程中采用四舍五入法，并保留小数</w:t>
      </w:r>
      <w:r>
        <w:rPr>
          <w:rFonts w:ascii="Times New Roman" w:hAnsi="Times New Roman" w:eastAsia="宋体" w:cs="Times New Roman"/>
          <w:color w:val="auto"/>
        </w:rPr>
        <w:t>2</w:t>
      </w:r>
      <w:r>
        <w:rPr>
          <w:rFonts w:hint="eastAsia" w:ascii="Times New Roman" w:hAnsi="Times New Roman" w:eastAsia="宋体" w:cs="Times New Roman"/>
          <w:color w:val="auto"/>
        </w:rPr>
        <w:t>位</w:t>
      </w:r>
      <w:r>
        <w:rPr>
          <w:rFonts w:ascii="Times New Roman" w:hAnsi="Times New Roman" w:eastAsia="宋体" w:cs="Times New Roman"/>
          <w:color w:val="auto"/>
        </w:rPr>
        <w:t>)</w:t>
      </w:r>
    </w:p>
    <w:p w14:paraId="1BFD9FA4">
      <w:pPr>
        <w:autoSpaceDE w:val="0"/>
        <w:autoSpaceDN w:val="0"/>
        <w:adjustRightInd w:val="0"/>
        <w:spacing w:line="336" w:lineRule="auto"/>
        <w:ind w:right="-341" w:firstLine="424" w:firstLineChars="202"/>
        <w:rPr>
          <w:rFonts w:ascii="Times New Roman" w:hAnsi="Times New Roman" w:eastAsia="宋体" w:cs="Times New Roman"/>
          <w:color w:val="auto"/>
        </w:rPr>
      </w:pPr>
      <w:bookmarkStart w:id="21" w:name="_Hlk113978293"/>
      <w:r>
        <w:rPr>
          <w:rFonts w:hint="eastAsia" w:ascii="Times New Roman" w:hAnsi="Times New Roman" w:eastAsia="宋体" w:cs="Times New Roman"/>
          <w:color w:val="auto"/>
        </w:rPr>
        <w:t>将综合</w:t>
      </w:r>
      <w:r>
        <w:rPr>
          <w:rFonts w:hint="eastAsia" w:ascii="Times New Roman" w:hAnsi="Times New Roman" w:eastAsia="宋体" w:cs="Times New Roman"/>
          <w:color w:val="auto"/>
          <w:lang w:val="en-US" w:eastAsia="zh-CN"/>
        </w:rPr>
        <w:t>得</w:t>
      </w:r>
      <w:r>
        <w:rPr>
          <w:rFonts w:hint="eastAsia" w:ascii="Times New Roman" w:hAnsi="Times New Roman" w:eastAsia="宋体" w:cs="Times New Roman"/>
          <w:color w:val="auto"/>
        </w:rPr>
        <w:t>分从高到低排序，得出投标人名次。得分相同时，按投标报价由低到高顺序排列，得分且投标报价相同的，按技术指标优劣顺序排列</w:t>
      </w:r>
    </w:p>
    <w:bookmarkEnd w:id="21"/>
    <w:p w14:paraId="5C8AF522">
      <w:pPr>
        <w:tabs>
          <w:tab w:val="left" w:pos="1620"/>
        </w:tabs>
        <w:spacing w:line="336" w:lineRule="auto"/>
        <w:ind w:left="1111" w:leftChars="228" w:hanging="632" w:hangingChars="300"/>
        <w:rPr>
          <w:rFonts w:ascii="Times New Roman" w:hAnsi="Times New Roman" w:eastAsia="宋体" w:cs="Times New Roman"/>
          <w:b/>
          <w:color w:val="auto"/>
        </w:rPr>
      </w:pPr>
      <w:r>
        <w:rPr>
          <w:rFonts w:hint="eastAsia" w:ascii="Times New Roman" w:hAnsi="Times New Roman" w:eastAsia="宋体" w:cs="Times New Roman"/>
          <w:b/>
          <w:color w:val="auto"/>
        </w:rPr>
        <w:t>候选中标商的选取</w:t>
      </w:r>
    </w:p>
    <w:p w14:paraId="7FD92BD1">
      <w:pPr>
        <w:spacing w:line="336" w:lineRule="auto"/>
        <w:ind w:right="-341" w:firstLine="525" w:firstLineChars="250"/>
        <w:rPr>
          <w:rFonts w:ascii="Times New Roman" w:hAnsi="Times New Roman" w:eastAsia="宋体" w:cs="Times New Roman"/>
          <w:b/>
          <w:color w:val="auto"/>
          <w:sz w:val="28"/>
          <w:szCs w:val="28"/>
          <w:lang w:val="zh-CN"/>
        </w:rPr>
      </w:pPr>
      <w:r>
        <w:rPr>
          <w:rFonts w:hint="eastAsia" w:ascii="Times New Roman" w:hAnsi="Times New Roman" w:eastAsia="宋体" w:cs="Times New Roman"/>
          <w:color w:val="auto"/>
        </w:rPr>
        <w:t>按照综合</w:t>
      </w:r>
      <w:r>
        <w:rPr>
          <w:rFonts w:hint="eastAsia" w:ascii="Times New Roman" w:hAnsi="Times New Roman" w:eastAsia="宋体" w:cs="Times New Roman"/>
          <w:color w:val="auto"/>
          <w:lang w:val="en-US" w:eastAsia="zh-CN"/>
        </w:rPr>
        <w:t>得</w:t>
      </w:r>
      <w:r>
        <w:rPr>
          <w:rFonts w:hint="eastAsia" w:ascii="Times New Roman" w:hAnsi="Times New Roman" w:eastAsia="宋体" w:cs="Times New Roman"/>
          <w:color w:val="auto"/>
        </w:rPr>
        <w:t>分名次推荐候选中标人</w:t>
      </w:r>
      <w:r>
        <w:rPr>
          <w:rFonts w:ascii="Times New Roman" w:hAnsi="Times New Roman" w:eastAsia="宋体" w:cs="Times New Roman"/>
          <w:color w:val="auto"/>
        </w:rPr>
        <w:t>1</w:t>
      </w:r>
      <w:r>
        <w:rPr>
          <w:rFonts w:hint="eastAsia" w:ascii="Times New Roman" w:hAnsi="Times New Roman" w:eastAsia="宋体" w:cs="Times New Roman"/>
          <w:color w:val="auto"/>
        </w:rPr>
        <w:t>名。</w:t>
      </w:r>
    </w:p>
    <w:p w14:paraId="28F51005">
      <w:pPr>
        <w:rPr>
          <w:rFonts w:ascii="Times New Roman" w:hAnsi="Times New Roman" w:eastAsia="宋体" w:cs="Times New Roman"/>
          <w:b/>
          <w:color w:val="auto"/>
          <w:sz w:val="24"/>
          <w:szCs w:val="24"/>
        </w:rPr>
      </w:pPr>
    </w:p>
    <w:p w14:paraId="7FEC8706">
      <w:pPr>
        <w:pStyle w:val="3"/>
        <w:rPr>
          <w:color w:val="auto"/>
        </w:rPr>
      </w:pPr>
    </w:p>
    <w:p w14:paraId="45A469A8">
      <w:pPr>
        <w:tabs>
          <w:tab w:val="left" w:pos="1476"/>
          <w:tab w:val="center" w:pos="4651"/>
        </w:tabs>
        <w:spacing w:line="288" w:lineRule="auto"/>
        <w:ind w:right="-341"/>
        <w:jc w:val="left"/>
        <w:rPr>
          <w:rFonts w:ascii="Times New Roman" w:hAnsi="Times New Roman" w:eastAsia="宋体" w:cs="Times New Roman"/>
          <w:b/>
          <w:color w:val="auto"/>
          <w:sz w:val="24"/>
          <w:szCs w:val="24"/>
        </w:rPr>
      </w:pPr>
    </w:p>
    <w:p w14:paraId="2FAB2E7B">
      <w:pPr>
        <w:pStyle w:val="18"/>
        <w:rPr>
          <w:rFonts w:ascii="Times New Roman" w:hAnsi="Times New Roman" w:eastAsia="宋体" w:cs="Times New Roman"/>
          <w:b/>
          <w:color w:val="auto"/>
          <w:sz w:val="24"/>
          <w:szCs w:val="24"/>
        </w:rPr>
      </w:pPr>
    </w:p>
    <w:p w14:paraId="10590D6C">
      <w:pPr>
        <w:pStyle w:val="18"/>
        <w:rPr>
          <w:rFonts w:ascii="Times New Roman" w:hAnsi="Times New Roman" w:eastAsia="宋体" w:cs="Times New Roman"/>
          <w:b/>
          <w:color w:val="auto"/>
          <w:sz w:val="24"/>
          <w:szCs w:val="24"/>
        </w:rPr>
      </w:pPr>
    </w:p>
    <w:p w14:paraId="5910EA96">
      <w:pPr>
        <w:pStyle w:val="18"/>
        <w:rPr>
          <w:rFonts w:ascii="Times New Roman" w:hAnsi="Times New Roman" w:eastAsia="宋体" w:cs="Times New Roman"/>
          <w:b/>
          <w:color w:val="auto"/>
          <w:sz w:val="24"/>
          <w:szCs w:val="24"/>
        </w:rPr>
      </w:pPr>
    </w:p>
    <w:p w14:paraId="4D0C3A5A">
      <w:pPr>
        <w:pStyle w:val="18"/>
        <w:rPr>
          <w:rFonts w:ascii="Times New Roman" w:hAnsi="Times New Roman" w:eastAsia="宋体" w:cs="Times New Roman"/>
          <w:b/>
          <w:color w:val="auto"/>
          <w:sz w:val="24"/>
          <w:szCs w:val="24"/>
        </w:rPr>
      </w:pPr>
    </w:p>
    <w:p w14:paraId="1E2D500E">
      <w:pPr>
        <w:pStyle w:val="18"/>
        <w:rPr>
          <w:rFonts w:ascii="Times New Roman" w:hAnsi="Times New Roman" w:eastAsia="宋体" w:cs="Times New Roman"/>
          <w:b/>
          <w:color w:val="auto"/>
          <w:sz w:val="24"/>
          <w:szCs w:val="24"/>
        </w:rPr>
      </w:pPr>
    </w:p>
    <w:p w14:paraId="3AE02875">
      <w:pPr>
        <w:pStyle w:val="18"/>
        <w:rPr>
          <w:rFonts w:ascii="Times New Roman" w:hAnsi="Times New Roman" w:eastAsia="宋体" w:cs="Times New Roman"/>
          <w:b/>
          <w:color w:val="auto"/>
          <w:sz w:val="24"/>
          <w:szCs w:val="24"/>
        </w:rPr>
      </w:pPr>
    </w:p>
    <w:p w14:paraId="38F7A39D">
      <w:pPr>
        <w:pStyle w:val="18"/>
        <w:rPr>
          <w:rFonts w:ascii="Times New Roman" w:hAnsi="Times New Roman" w:eastAsia="宋体" w:cs="Times New Roman"/>
          <w:b/>
          <w:color w:val="auto"/>
          <w:sz w:val="24"/>
          <w:szCs w:val="24"/>
        </w:rPr>
      </w:pPr>
    </w:p>
    <w:p w14:paraId="49366FDC">
      <w:pPr>
        <w:pStyle w:val="18"/>
        <w:rPr>
          <w:rFonts w:ascii="Times New Roman" w:hAnsi="Times New Roman" w:eastAsia="宋体" w:cs="Times New Roman"/>
          <w:b/>
          <w:color w:val="auto"/>
          <w:sz w:val="24"/>
          <w:szCs w:val="24"/>
        </w:rPr>
      </w:pPr>
    </w:p>
    <w:p w14:paraId="35534AE8">
      <w:pPr>
        <w:pStyle w:val="18"/>
        <w:rPr>
          <w:rFonts w:ascii="Times New Roman" w:hAnsi="Times New Roman" w:eastAsia="宋体" w:cs="Times New Roman"/>
          <w:b/>
          <w:color w:val="auto"/>
          <w:sz w:val="24"/>
          <w:szCs w:val="24"/>
        </w:rPr>
      </w:pPr>
    </w:p>
    <w:p w14:paraId="2651A86D">
      <w:pPr>
        <w:pStyle w:val="18"/>
        <w:rPr>
          <w:rFonts w:ascii="Times New Roman" w:hAnsi="Times New Roman" w:eastAsia="宋体" w:cs="Times New Roman"/>
          <w:b/>
          <w:color w:val="auto"/>
          <w:sz w:val="24"/>
          <w:szCs w:val="24"/>
        </w:rPr>
      </w:pPr>
    </w:p>
    <w:p w14:paraId="2C0C4A65">
      <w:pPr>
        <w:pStyle w:val="18"/>
        <w:rPr>
          <w:rFonts w:ascii="Times New Roman" w:hAnsi="Times New Roman" w:eastAsia="宋体" w:cs="Times New Roman"/>
          <w:b/>
          <w:color w:val="auto"/>
          <w:sz w:val="24"/>
          <w:szCs w:val="24"/>
        </w:rPr>
      </w:pPr>
    </w:p>
    <w:p w14:paraId="21B9DB49">
      <w:pPr>
        <w:tabs>
          <w:tab w:val="left" w:pos="1476"/>
          <w:tab w:val="center" w:pos="4651"/>
        </w:tabs>
        <w:spacing w:line="288" w:lineRule="auto"/>
        <w:ind w:right="-341"/>
        <w:jc w:val="center"/>
        <w:rPr>
          <w:rFonts w:hint="eastAsia" w:ascii="Times New Roman" w:hAnsi="Times New Roman" w:eastAsia="宋体" w:cs="Times New Roman"/>
          <w:b/>
          <w:color w:val="auto"/>
          <w:sz w:val="24"/>
          <w:szCs w:val="24"/>
          <w:lang w:eastAsia="zh-CN"/>
        </w:rPr>
      </w:pPr>
    </w:p>
    <w:p w14:paraId="3192C759">
      <w:pPr>
        <w:tabs>
          <w:tab w:val="left" w:pos="1476"/>
          <w:tab w:val="center" w:pos="4651"/>
        </w:tabs>
        <w:spacing w:line="288" w:lineRule="auto"/>
        <w:ind w:right="-341"/>
        <w:jc w:val="center"/>
        <w:rPr>
          <w:rFonts w:hint="eastAsia" w:ascii="Times New Roman" w:hAnsi="Times New Roman" w:eastAsia="宋体" w:cs="Times New Roman"/>
          <w:b/>
          <w:color w:val="auto"/>
          <w:sz w:val="24"/>
          <w:szCs w:val="24"/>
          <w:lang w:eastAsia="zh-CN"/>
        </w:rPr>
      </w:pPr>
    </w:p>
    <w:p w14:paraId="3E292EE2">
      <w:pPr>
        <w:tabs>
          <w:tab w:val="left" w:pos="1476"/>
          <w:tab w:val="center" w:pos="4651"/>
        </w:tabs>
        <w:spacing w:line="288" w:lineRule="auto"/>
        <w:ind w:right="-341"/>
        <w:jc w:val="center"/>
        <w:rPr>
          <w:rFonts w:hint="eastAsia" w:ascii="Times New Roman" w:hAnsi="Times New Roman" w:eastAsia="宋体" w:cs="Times New Roman"/>
          <w:b/>
          <w:color w:val="auto"/>
          <w:sz w:val="24"/>
          <w:szCs w:val="24"/>
          <w:lang w:eastAsia="zh-CN"/>
        </w:rPr>
      </w:pPr>
    </w:p>
    <w:p w14:paraId="709F5B71">
      <w:pPr>
        <w:tabs>
          <w:tab w:val="left" w:pos="1476"/>
          <w:tab w:val="center" w:pos="4651"/>
        </w:tabs>
        <w:spacing w:line="288" w:lineRule="auto"/>
        <w:ind w:right="-341"/>
        <w:jc w:val="center"/>
        <w:rPr>
          <w:rFonts w:ascii="Times New Roman" w:hAnsi="Times New Roman" w:eastAsia="宋体" w:cs="Times New Roman"/>
          <w:color w:val="auto"/>
          <w:szCs w:val="21"/>
        </w:rPr>
      </w:pPr>
      <w:r>
        <w:rPr>
          <w:rFonts w:hint="eastAsia" w:ascii="Times New Roman" w:hAnsi="Times New Roman" w:eastAsia="宋体" w:cs="Times New Roman"/>
          <w:b/>
          <w:color w:val="auto"/>
          <w:sz w:val="24"/>
          <w:szCs w:val="24"/>
          <w:lang w:eastAsia="zh-CN"/>
        </w:rPr>
        <w:t>2025年舟山市生态环境监测能力建设项目</w:t>
      </w:r>
      <w:r>
        <w:rPr>
          <w:rFonts w:hint="eastAsia" w:ascii="Times New Roman" w:hAnsi="Times New Roman" w:eastAsia="宋体" w:cs="Times New Roman"/>
          <w:b/>
          <w:color w:val="auto"/>
          <w:sz w:val="24"/>
          <w:szCs w:val="24"/>
        </w:rPr>
        <w:t>评分表</w:t>
      </w:r>
    </w:p>
    <w:p w14:paraId="2F021338">
      <w:pPr>
        <w:spacing w:line="360" w:lineRule="auto"/>
        <w:ind w:right="-341"/>
        <w:jc w:val="left"/>
        <w:rPr>
          <w:rFonts w:hint="eastAsia"/>
          <w:color w:val="auto"/>
        </w:rPr>
      </w:pPr>
    </w:p>
    <w:tbl>
      <w:tblPr>
        <w:tblStyle w:val="61"/>
        <w:tblW w:w="10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134"/>
        <w:gridCol w:w="7236"/>
        <w:gridCol w:w="757"/>
      </w:tblGrid>
      <w:tr w14:paraId="44AE6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5" w:type="dxa"/>
            <w:vMerge w:val="restart"/>
            <w:noWrap/>
            <w:vAlign w:val="center"/>
          </w:tcPr>
          <w:p w14:paraId="02F0D534">
            <w:pPr>
              <w:spacing w:line="312" w:lineRule="auto"/>
              <w:jc w:val="center"/>
              <w:rPr>
                <w:rFonts w:ascii="Times New Roman" w:hAnsi="Times New Roman" w:eastAsia="宋体"/>
                <w:color w:val="auto"/>
              </w:rPr>
            </w:pPr>
            <w:r>
              <w:rPr>
                <w:rFonts w:hint="eastAsia" w:ascii="Times New Roman" w:hAnsi="Times New Roman" w:eastAsia="宋体"/>
                <w:color w:val="auto"/>
              </w:rPr>
              <w:t>商务技术得分</w:t>
            </w:r>
          </w:p>
          <w:p w14:paraId="6CBA8153">
            <w:pPr>
              <w:spacing w:line="312" w:lineRule="auto"/>
              <w:rPr>
                <w:rFonts w:ascii="Times New Roman" w:hAnsi="Times New Roman" w:eastAsia="宋体"/>
                <w:color w:val="auto"/>
              </w:rPr>
            </w:pPr>
            <w:r>
              <w:rPr>
                <w:rFonts w:hint="eastAsia" w:ascii="Times New Roman" w:hAnsi="Times New Roman" w:eastAsia="宋体"/>
                <w:color w:val="auto"/>
              </w:rPr>
              <w:t>（</w:t>
            </w:r>
            <w:r>
              <w:rPr>
                <w:rFonts w:hint="eastAsia" w:ascii="Times New Roman" w:hAnsi="Times New Roman" w:eastAsia="宋体"/>
                <w:color w:val="auto"/>
                <w:lang w:val="en-US" w:eastAsia="zh-CN"/>
              </w:rPr>
              <w:t>65</w:t>
            </w:r>
            <w:r>
              <w:rPr>
                <w:rFonts w:hint="eastAsia" w:ascii="Times New Roman" w:hAnsi="Times New Roman" w:eastAsia="宋体"/>
                <w:color w:val="auto"/>
              </w:rPr>
              <w:t>分）</w:t>
            </w:r>
          </w:p>
        </w:tc>
        <w:tc>
          <w:tcPr>
            <w:tcW w:w="1134" w:type="dxa"/>
            <w:vMerge w:val="restart"/>
            <w:noWrap/>
            <w:vAlign w:val="center"/>
          </w:tcPr>
          <w:p w14:paraId="31D822C7">
            <w:pPr>
              <w:jc w:val="center"/>
              <w:rPr>
                <w:rFonts w:ascii="Times New Roman" w:hAnsi="Times New Roman" w:eastAsia="宋体"/>
                <w:color w:val="auto"/>
              </w:rPr>
            </w:pPr>
            <w:r>
              <w:rPr>
                <w:rFonts w:hint="eastAsia" w:ascii="Times New Roman" w:hAnsi="Times New Roman" w:eastAsia="宋体"/>
                <w:color w:val="auto"/>
              </w:rPr>
              <w:t>评审内容</w:t>
            </w:r>
          </w:p>
        </w:tc>
        <w:tc>
          <w:tcPr>
            <w:tcW w:w="7236" w:type="dxa"/>
            <w:vMerge w:val="restart"/>
            <w:noWrap/>
            <w:vAlign w:val="center"/>
          </w:tcPr>
          <w:p w14:paraId="01227EB1">
            <w:pPr>
              <w:ind w:firstLine="210"/>
              <w:jc w:val="center"/>
              <w:rPr>
                <w:rFonts w:ascii="Times New Roman" w:hAnsi="Times New Roman" w:eastAsia="宋体"/>
                <w:color w:val="auto"/>
              </w:rPr>
            </w:pPr>
            <w:r>
              <w:rPr>
                <w:rFonts w:hint="eastAsia" w:ascii="Times New Roman" w:hAnsi="Times New Roman" w:eastAsia="宋体"/>
                <w:color w:val="auto"/>
              </w:rPr>
              <w:t>评分标准</w:t>
            </w:r>
          </w:p>
        </w:tc>
        <w:tc>
          <w:tcPr>
            <w:tcW w:w="757" w:type="dxa"/>
            <w:vMerge w:val="restart"/>
            <w:noWrap/>
            <w:vAlign w:val="center"/>
          </w:tcPr>
          <w:p w14:paraId="4A34353A">
            <w:pPr>
              <w:jc w:val="center"/>
              <w:rPr>
                <w:rFonts w:ascii="Times New Roman" w:hAnsi="Times New Roman" w:eastAsia="宋体"/>
                <w:color w:val="auto"/>
              </w:rPr>
            </w:pPr>
            <w:r>
              <w:rPr>
                <w:rFonts w:hint="eastAsia" w:ascii="Times New Roman" w:hAnsi="Times New Roman" w:eastAsia="宋体"/>
                <w:color w:val="auto"/>
              </w:rPr>
              <w:t>得分</w:t>
            </w:r>
          </w:p>
        </w:tc>
      </w:tr>
      <w:tr w14:paraId="22A58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1135" w:type="dxa"/>
            <w:vMerge w:val="continue"/>
            <w:noWrap/>
            <w:vAlign w:val="center"/>
          </w:tcPr>
          <w:p w14:paraId="6C44A14E">
            <w:pPr>
              <w:widowControl/>
              <w:spacing w:line="312" w:lineRule="auto"/>
              <w:jc w:val="center"/>
              <w:rPr>
                <w:rFonts w:ascii="Times New Roman" w:hAnsi="Times New Roman" w:eastAsia="宋体"/>
                <w:color w:val="auto"/>
              </w:rPr>
            </w:pPr>
          </w:p>
        </w:tc>
        <w:tc>
          <w:tcPr>
            <w:tcW w:w="1134" w:type="dxa"/>
            <w:vMerge w:val="continue"/>
            <w:noWrap/>
            <w:vAlign w:val="center"/>
          </w:tcPr>
          <w:p w14:paraId="7501BD7F">
            <w:pPr>
              <w:widowControl/>
              <w:spacing w:line="312" w:lineRule="auto"/>
              <w:jc w:val="center"/>
              <w:rPr>
                <w:rFonts w:ascii="Times New Roman" w:hAnsi="Times New Roman" w:eastAsia="宋体"/>
                <w:color w:val="auto"/>
              </w:rPr>
            </w:pPr>
          </w:p>
        </w:tc>
        <w:tc>
          <w:tcPr>
            <w:tcW w:w="7236" w:type="dxa"/>
            <w:vMerge w:val="continue"/>
            <w:noWrap/>
            <w:vAlign w:val="center"/>
          </w:tcPr>
          <w:p w14:paraId="5FB1187A">
            <w:pPr>
              <w:widowControl/>
              <w:spacing w:line="312" w:lineRule="auto"/>
              <w:jc w:val="left"/>
              <w:rPr>
                <w:rFonts w:ascii="Times New Roman" w:hAnsi="Times New Roman" w:eastAsia="宋体"/>
                <w:color w:val="auto"/>
              </w:rPr>
            </w:pPr>
          </w:p>
        </w:tc>
        <w:tc>
          <w:tcPr>
            <w:tcW w:w="757" w:type="dxa"/>
            <w:vMerge w:val="continue"/>
            <w:noWrap/>
            <w:vAlign w:val="center"/>
          </w:tcPr>
          <w:p w14:paraId="473D58D8">
            <w:pPr>
              <w:widowControl/>
              <w:jc w:val="left"/>
              <w:rPr>
                <w:rFonts w:ascii="Times New Roman" w:hAnsi="Times New Roman" w:eastAsia="宋体"/>
                <w:color w:val="auto"/>
              </w:rPr>
            </w:pPr>
          </w:p>
        </w:tc>
      </w:tr>
      <w:tr w14:paraId="6C337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1135" w:type="dxa"/>
            <w:vMerge w:val="continue"/>
            <w:noWrap/>
            <w:vAlign w:val="center"/>
          </w:tcPr>
          <w:p w14:paraId="1798E67E">
            <w:pPr>
              <w:spacing w:line="312" w:lineRule="auto"/>
              <w:jc w:val="center"/>
              <w:rPr>
                <w:rFonts w:ascii="Times New Roman" w:hAnsi="Times New Roman" w:eastAsia="宋体"/>
                <w:color w:val="auto"/>
              </w:rPr>
            </w:pPr>
          </w:p>
        </w:tc>
        <w:tc>
          <w:tcPr>
            <w:tcW w:w="1134" w:type="dxa"/>
            <w:noWrap/>
            <w:vAlign w:val="center"/>
          </w:tcPr>
          <w:p w14:paraId="6E409609">
            <w:pPr>
              <w:rPr>
                <w:rFonts w:hint="eastAsia" w:ascii="宋体" w:hAnsi="宋体" w:eastAsia="宋体"/>
                <w:color w:val="auto"/>
                <w:szCs w:val="21"/>
                <w:lang w:val="zh-CN"/>
              </w:rPr>
            </w:pPr>
            <w:r>
              <w:rPr>
                <w:rFonts w:hint="eastAsia" w:ascii="宋体" w:hAnsi="宋体" w:eastAsia="宋体"/>
                <w:color w:val="auto"/>
                <w:szCs w:val="21"/>
                <w:lang w:val="zh-CN"/>
              </w:rPr>
              <w:t>成功案例</w:t>
            </w:r>
          </w:p>
          <w:p w14:paraId="62153DD6">
            <w:pPr>
              <w:rPr>
                <w:rFonts w:hint="eastAsia" w:ascii="宋体" w:hAnsi="宋体" w:eastAsia="宋体"/>
                <w:color w:val="auto"/>
                <w:szCs w:val="21"/>
                <w:lang w:val="zh-CN"/>
              </w:rPr>
            </w:pPr>
            <w:r>
              <w:rPr>
                <w:rFonts w:hint="eastAsia" w:ascii="宋体" w:hAnsi="宋体" w:eastAsia="宋体"/>
                <w:color w:val="auto"/>
                <w:szCs w:val="21"/>
                <w:lang w:val="zh-CN"/>
              </w:rPr>
              <w:t>（</w:t>
            </w:r>
            <w:r>
              <w:rPr>
                <w:rFonts w:ascii="宋体" w:hAnsi="宋体" w:eastAsia="宋体"/>
                <w:color w:val="auto"/>
                <w:szCs w:val="21"/>
                <w:lang w:val="zh-CN"/>
              </w:rPr>
              <w:t>3</w:t>
            </w:r>
            <w:r>
              <w:rPr>
                <w:rFonts w:hint="eastAsia" w:ascii="宋体" w:hAnsi="宋体" w:eastAsia="宋体"/>
                <w:color w:val="auto"/>
                <w:szCs w:val="21"/>
                <w:lang w:val="zh-CN"/>
              </w:rPr>
              <w:t>分）</w:t>
            </w:r>
          </w:p>
        </w:tc>
        <w:tc>
          <w:tcPr>
            <w:tcW w:w="7236" w:type="dxa"/>
            <w:shd w:val="clear" w:color="auto" w:fill="FFFFFF"/>
            <w:noWrap/>
            <w:vAlign w:val="center"/>
          </w:tcPr>
          <w:p w14:paraId="206FE732">
            <w:pPr>
              <w:jc w:val="left"/>
              <w:rPr>
                <w:rFonts w:hint="eastAsia" w:ascii="宋体" w:hAnsi="宋体" w:eastAsia="宋体"/>
                <w:color w:val="auto"/>
                <w:szCs w:val="21"/>
              </w:rPr>
            </w:pPr>
            <w:r>
              <w:rPr>
                <w:rFonts w:ascii="宋体" w:hAnsi="宋体" w:eastAsia="宋体"/>
                <w:color w:val="auto"/>
                <w:szCs w:val="21"/>
              </w:rPr>
              <w:t>2</w:t>
            </w:r>
            <w:r>
              <w:rPr>
                <w:rFonts w:hint="eastAsia" w:ascii="宋体" w:hAnsi="宋体" w:eastAsia="宋体"/>
                <w:color w:val="auto"/>
                <w:szCs w:val="21"/>
              </w:rPr>
              <w:t>02</w:t>
            </w:r>
            <w:r>
              <w:rPr>
                <w:rFonts w:hint="eastAsia" w:ascii="宋体" w:hAnsi="宋体" w:eastAsia="宋体"/>
                <w:color w:val="auto"/>
                <w:szCs w:val="21"/>
                <w:lang w:val="en-US" w:eastAsia="zh-CN"/>
              </w:rPr>
              <w:t>2</w:t>
            </w:r>
            <w:r>
              <w:rPr>
                <w:rFonts w:hint="eastAsia" w:ascii="宋体" w:hAnsi="宋体" w:eastAsia="宋体"/>
                <w:color w:val="auto"/>
                <w:szCs w:val="21"/>
              </w:rPr>
              <w:t>年</w:t>
            </w:r>
            <w:r>
              <w:rPr>
                <w:rFonts w:ascii="宋体" w:hAnsi="宋体" w:eastAsia="宋体"/>
                <w:color w:val="auto"/>
                <w:szCs w:val="21"/>
              </w:rPr>
              <w:t>1</w:t>
            </w:r>
            <w:r>
              <w:rPr>
                <w:rFonts w:hint="eastAsia" w:ascii="宋体" w:hAnsi="宋体" w:eastAsia="宋体"/>
                <w:color w:val="auto"/>
                <w:szCs w:val="21"/>
              </w:rPr>
              <w:t>月以来同类项目案例，每个得</w:t>
            </w:r>
            <w:r>
              <w:rPr>
                <w:rFonts w:ascii="宋体" w:hAnsi="宋体" w:eastAsia="宋体"/>
                <w:color w:val="auto"/>
                <w:szCs w:val="21"/>
              </w:rPr>
              <w:t>1</w:t>
            </w:r>
            <w:r>
              <w:rPr>
                <w:rFonts w:hint="eastAsia" w:ascii="宋体" w:hAnsi="宋体" w:eastAsia="宋体"/>
                <w:color w:val="auto"/>
                <w:szCs w:val="21"/>
              </w:rPr>
              <w:t>分，最高得</w:t>
            </w:r>
            <w:r>
              <w:rPr>
                <w:rFonts w:ascii="宋体" w:hAnsi="宋体" w:eastAsia="宋体"/>
                <w:color w:val="auto"/>
                <w:szCs w:val="21"/>
              </w:rPr>
              <w:t>3</w:t>
            </w:r>
            <w:r>
              <w:rPr>
                <w:rFonts w:hint="eastAsia" w:ascii="宋体" w:hAnsi="宋体" w:eastAsia="宋体"/>
                <w:color w:val="auto"/>
                <w:szCs w:val="21"/>
              </w:rPr>
              <w:t>分。</w:t>
            </w:r>
          </w:p>
          <w:p w14:paraId="219E7834">
            <w:pPr>
              <w:pStyle w:val="27"/>
              <w:ind w:left="0" w:leftChars="0" w:firstLine="0" w:firstLineChars="0"/>
              <w:jc w:val="left"/>
              <w:rPr>
                <w:rFonts w:hint="eastAsia" w:hAnsi="宋体"/>
                <w:color w:val="auto"/>
                <w:lang w:val="zh-CN"/>
              </w:rPr>
            </w:pPr>
            <w:r>
              <w:rPr>
                <w:rFonts w:hint="eastAsia"/>
                <w:b/>
                <w:bCs/>
                <w:color w:val="auto"/>
                <w:sz w:val="21"/>
                <w:szCs w:val="21"/>
              </w:rPr>
              <w:t>（提供中标通知书（如有）、合同协议书及投标人认为需要提交的其他证明材料证实，复印件加盖公章，须提供重要页面，能够体现项目内容）</w:t>
            </w:r>
          </w:p>
        </w:tc>
        <w:tc>
          <w:tcPr>
            <w:tcW w:w="757" w:type="dxa"/>
            <w:noWrap/>
            <w:vAlign w:val="center"/>
          </w:tcPr>
          <w:p w14:paraId="35CE7123">
            <w:pPr>
              <w:ind w:firstLine="210" w:firstLineChars="100"/>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客</w:t>
            </w:r>
          </w:p>
        </w:tc>
      </w:tr>
      <w:tr w14:paraId="4BE66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atLeast"/>
          <w:jc w:val="center"/>
        </w:trPr>
        <w:tc>
          <w:tcPr>
            <w:tcW w:w="1135" w:type="dxa"/>
            <w:vMerge w:val="continue"/>
            <w:noWrap/>
            <w:vAlign w:val="center"/>
          </w:tcPr>
          <w:p w14:paraId="65D41EB7">
            <w:pPr>
              <w:spacing w:line="312" w:lineRule="auto"/>
              <w:jc w:val="center"/>
              <w:rPr>
                <w:rFonts w:ascii="Times New Roman" w:hAnsi="Times New Roman" w:eastAsia="宋体"/>
                <w:color w:val="auto"/>
              </w:rPr>
            </w:pPr>
          </w:p>
        </w:tc>
        <w:tc>
          <w:tcPr>
            <w:tcW w:w="1134" w:type="dxa"/>
            <w:vMerge w:val="restart"/>
            <w:noWrap/>
            <w:vAlign w:val="center"/>
          </w:tcPr>
          <w:p w14:paraId="7ADF9A09">
            <w:pPr>
              <w:rPr>
                <w:rFonts w:hint="eastAsia" w:ascii="宋体" w:hAnsi="宋体" w:eastAsia="宋体"/>
                <w:color w:val="auto"/>
              </w:rPr>
            </w:pPr>
            <w:r>
              <w:rPr>
                <w:rFonts w:hint="eastAsia" w:ascii="宋体" w:hAnsi="宋体" w:eastAsia="宋体"/>
                <w:color w:val="auto"/>
              </w:rPr>
              <w:t>投标产品的性能与需求的吻合程度</w:t>
            </w:r>
          </w:p>
          <w:p w14:paraId="231504D6">
            <w:pPr>
              <w:rPr>
                <w:rFonts w:hint="eastAsia" w:ascii="宋体" w:hAnsi="宋体" w:eastAsia="宋体"/>
                <w:color w:val="auto"/>
              </w:rPr>
            </w:pPr>
            <w:r>
              <w:rPr>
                <w:rFonts w:hint="eastAsia" w:ascii="宋体" w:hAnsi="宋体" w:eastAsia="宋体"/>
                <w:color w:val="auto"/>
              </w:rPr>
              <w:t>（</w:t>
            </w:r>
            <w:r>
              <w:rPr>
                <w:rFonts w:hint="eastAsia" w:ascii="宋体" w:hAnsi="宋体" w:eastAsia="宋体"/>
                <w:color w:val="auto"/>
                <w:lang w:val="en-US" w:eastAsia="zh-CN"/>
              </w:rPr>
              <w:t>45</w:t>
            </w:r>
            <w:r>
              <w:rPr>
                <w:rFonts w:hint="eastAsia" w:ascii="宋体" w:hAnsi="宋体" w:eastAsia="宋体"/>
                <w:color w:val="auto"/>
              </w:rPr>
              <w:t>分）</w:t>
            </w:r>
          </w:p>
        </w:tc>
        <w:tc>
          <w:tcPr>
            <w:tcW w:w="7236" w:type="dxa"/>
            <w:shd w:val="clear" w:color="auto" w:fill="FFFFFF"/>
            <w:noWrap/>
            <w:vAlign w:val="center"/>
          </w:tcPr>
          <w:p w14:paraId="72D705A8">
            <w:pPr>
              <w:rPr>
                <w:rFonts w:hint="eastAsia" w:ascii="宋体" w:hAnsi="宋体" w:eastAsia="宋体"/>
                <w:color w:val="auto"/>
              </w:rPr>
            </w:pPr>
            <w:r>
              <w:rPr>
                <w:rFonts w:hint="eastAsia" w:ascii="宋体" w:hAnsi="宋体" w:eastAsia="宋体"/>
                <w:color w:val="auto"/>
              </w:rPr>
              <w:t>投标产品的基本功能、技术指标与需求的吻合程度和偏差情况（包括所投标产品的品牌、规格型号、详细配置、主要技术参数、随机软件等）。（</w:t>
            </w:r>
            <w:r>
              <w:rPr>
                <w:rFonts w:hint="eastAsia" w:ascii="宋体" w:hAnsi="宋体" w:eastAsia="宋体"/>
                <w:color w:val="auto"/>
                <w:lang w:val="en-US" w:eastAsia="zh-CN"/>
              </w:rPr>
              <w:t>40</w:t>
            </w:r>
            <w:r>
              <w:rPr>
                <w:rFonts w:hint="eastAsia" w:ascii="宋体" w:hAnsi="宋体" w:eastAsia="宋体"/>
                <w:color w:val="auto"/>
              </w:rPr>
              <w:t>分）</w:t>
            </w:r>
          </w:p>
          <w:p w14:paraId="7DE3461F">
            <w:pPr>
              <w:rPr>
                <w:rFonts w:hint="eastAsia" w:ascii="宋体" w:hAnsi="宋体" w:eastAsia="宋体"/>
                <w:color w:val="auto"/>
                <w:lang w:val="en-US" w:eastAsia="zh-CN"/>
              </w:rPr>
            </w:pPr>
            <w:r>
              <w:rPr>
                <w:rFonts w:hint="eastAsia" w:ascii="宋体" w:hAnsi="宋体" w:eastAsia="宋体"/>
                <w:color w:val="auto"/>
                <w:lang w:val="en-US" w:eastAsia="zh-CN"/>
              </w:rPr>
              <w:t>（一）打“</w:t>
            </w:r>
            <w:r>
              <w:rPr>
                <w:rFonts w:hint="eastAsia"/>
                <w:b/>
                <w:color w:val="auto"/>
              </w:rPr>
              <w:t>▲</w:t>
            </w:r>
            <w:r>
              <w:rPr>
                <w:rFonts w:hint="eastAsia" w:ascii="宋体" w:hAnsi="宋体" w:eastAsia="宋体"/>
                <w:color w:val="auto"/>
                <w:lang w:val="en-US" w:eastAsia="zh-CN"/>
              </w:rPr>
              <w:t>”技术参数每满足一项得2分，最多得4分。</w:t>
            </w:r>
          </w:p>
          <w:p w14:paraId="0C9F41F2">
            <w:pPr>
              <w:rPr>
                <w:rFonts w:hint="default" w:ascii="宋体" w:hAnsi="宋体" w:eastAsia="宋体"/>
                <w:color w:val="auto"/>
                <w:lang w:val="en-US" w:eastAsia="zh-CN"/>
              </w:rPr>
            </w:pPr>
            <w:r>
              <w:rPr>
                <w:rFonts w:hint="eastAsia" w:ascii="宋体" w:hAnsi="宋体" w:eastAsia="宋体"/>
                <w:color w:val="auto"/>
                <w:lang w:val="en-US" w:eastAsia="zh-CN"/>
              </w:rPr>
              <w:t>（二）除打“</w:t>
            </w:r>
            <w:r>
              <w:rPr>
                <w:rFonts w:hint="eastAsia" w:ascii="宋体" w:hAnsi="宋体" w:eastAsia="宋体" w:cs="宋体"/>
                <w:color w:val="auto"/>
                <w:lang w:val="en-US" w:eastAsia="zh-CN"/>
              </w:rPr>
              <w:t>★”“▲”外其它技术参数（36分）：</w:t>
            </w:r>
          </w:p>
          <w:p w14:paraId="7216FC41">
            <w:pPr>
              <w:rPr>
                <w:rFonts w:hint="eastAsia" w:ascii="宋体" w:hAnsi="宋体" w:eastAsia="宋体"/>
                <w:color w:val="auto"/>
                <w:lang w:eastAsia="zh-CN"/>
              </w:rPr>
            </w:pPr>
            <w:r>
              <w:rPr>
                <w:rFonts w:hint="eastAsia" w:ascii="宋体" w:hAnsi="宋体" w:eastAsia="宋体"/>
                <w:color w:val="auto"/>
                <w:lang w:val="en-US" w:eastAsia="zh-CN"/>
              </w:rPr>
              <w:t>1.</w:t>
            </w:r>
            <w:r>
              <w:rPr>
                <w:rFonts w:hint="eastAsia" w:ascii="宋体" w:hAnsi="宋体" w:eastAsia="宋体"/>
                <w:color w:val="auto"/>
              </w:rPr>
              <w:t>盐度计</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w:t>
            </w:r>
            <w:bookmarkStart w:id="23" w:name="_GoBack"/>
            <w:bookmarkEnd w:id="23"/>
            <w:r>
              <w:rPr>
                <w:rFonts w:hint="eastAsia" w:ascii="宋体" w:hAnsi="宋体" w:eastAsia="宋体"/>
                <w:color w:val="auto"/>
                <w:lang w:val="en-US" w:eastAsia="zh-CN"/>
              </w:rPr>
              <w:t>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2D9E2F63">
            <w:pPr>
              <w:rPr>
                <w:rFonts w:hint="eastAsia" w:ascii="宋体" w:hAnsi="宋体" w:eastAsia="宋体"/>
                <w:color w:val="auto"/>
                <w:lang w:eastAsia="zh-CN"/>
              </w:rPr>
            </w:pPr>
            <w:r>
              <w:rPr>
                <w:rFonts w:hint="eastAsia" w:ascii="宋体" w:hAnsi="宋体" w:eastAsia="宋体"/>
                <w:color w:val="auto"/>
                <w:lang w:val="en-US" w:eastAsia="zh-CN"/>
              </w:rPr>
              <w:t>2.</w:t>
            </w:r>
            <w:r>
              <w:rPr>
                <w:rFonts w:hint="eastAsia" w:ascii="宋体" w:hAnsi="宋体" w:eastAsia="宋体"/>
                <w:color w:val="auto"/>
              </w:rPr>
              <w:t>无人机采样模块</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6CC64D6B">
            <w:pPr>
              <w:rPr>
                <w:rFonts w:hint="eastAsia" w:ascii="宋体" w:hAnsi="宋体" w:eastAsia="宋体"/>
                <w:color w:val="auto"/>
                <w:lang w:eastAsia="zh-CN"/>
              </w:rPr>
            </w:pPr>
            <w:r>
              <w:rPr>
                <w:rFonts w:hint="eastAsia" w:ascii="宋体" w:hAnsi="宋体" w:eastAsia="宋体"/>
                <w:color w:val="auto"/>
                <w:lang w:val="en-US" w:eastAsia="zh-CN"/>
              </w:rPr>
              <w:t>3.</w:t>
            </w:r>
            <w:r>
              <w:rPr>
                <w:rFonts w:hint="eastAsia" w:ascii="宋体" w:hAnsi="宋体" w:eastAsia="宋体"/>
                <w:color w:val="auto"/>
              </w:rPr>
              <w:t>凯氏定氮仪自动进样仪</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r>
              <w:rPr>
                <w:rFonts w:hint="eastAsia" w:ascii="宋体" w:hAnsi="宋体" w:eastAsia="宋体"/>
                <w:color w:val="auto"/>
                <w:lang w:val="en-US" w:eastAsia="zh-CN"/>
              </w:rPr>
              <w:t>4.</w:t>
            </w:r>
            <w:r>
              <w:rPr>
                <w:rFonts w:hint="eastAsia" w:ascii="宋体" w:hAnsi="宋体" w:eastAsia="宋体"/>
                <w:color w:val="auto"/>
              </w:rPr>
              <w:t>振荡器</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28A588B4">
            <w:pPr>
              <w:rPr>
                <w:rFonts w:hint="eastAsia" w:ascii="宋体" w:hAnsi="宋体" w:eastAsia="宋体"/>
                <w:color w:val="auto"/>
                <w:lang w:eastAsia="zh-CN"/>
              </w:rPr>
            </w:pPr>
            <w:r>
              <w:rPr>
                <w:rFonts w:hint="eastAsia" w:ascii="宋体" w:hAnsi="宋体" w:eastAsia="宋体"/>
                <w:color w:val="auto"/>
                <w:lang w:val="en-US" w:eastAsia="zh-CN"/>
              </w:rPr>
              <w:t>5.</w:t>
            </w:r>
            <w:r>
              <w:rPr>
                <w:rFonts w:hint="eastAsia" w:ascii="宋体" w:hAnsi="宋体" w:eastAsia="宋体"/>
                <w:color w:val="auto"/>
              </w:rPr>
              <w:t>多参数水质仪</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1D3EE7D6">
            <w:pPr>
              <w:rPr>
                <w:rFonts w:hint="eastAsia" w:ascii="宋体" w:hAnsi="宋体" w:eastAsia="宋体"/>
                <w:color w:val="auto"/>
                <w:lang w:eastAsia="zh-CN"/>
              </w:rPr>
            </w:pPr>
            <w:r>
              <w:rPr>
                <w:rFonts w:hint="eastAsia" w:ascii="宋体" w:hAnsi="宋体" w:eastAsia="宋体"/>
                <w:color w:val="auto"/>
                <w:lang w:val="en-US" w:eastAsia="zh-CN"/>
              </w:rPr>
              <w:t>6.</w:t>
            </w:r>
            <w:r>
              <w:rPr>
                <w:rFonts w:hint="eastAsia" w:ascii="宋体" w:hAnsi="宋体" w:eastAsia="宋体"/>
                <w:color w:val="auto"/>
              </w:rPr>
              <w:t>气象参数测定仪</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0FE55252">
            <w:pPr>
              <w:rPr>
                <w:rFonts w:hint="eastAsia" w:ascii="宋体" w:hAnsi="宋体" w:eastAsia="宋体"/>
                <w:color w:val="auto"/>
              </w:rPr>
            </w:pPr>
            <w:r>
              <w:rPr>
                <w:rFonts w:hint="eastAsia" w:ascii="宋体" w:hAnsi="宋体" w:eastAsia="宋体"/>
                <w:color w:val="auto"/>
                <w:lang w:val="en-US" w:eastAsia="zh-CN"/>
              </w:rPr>
              <w:t>7.</w:t>
            </w:r>
            <w:r>
              <w:rPr>
                <w:rFonts w:hint="eastAsia" w:ascii="宋体" w:hAnsi="宋体" w:eastAsia="宋体"/>
                <w:color w:val="auto"/>
              </w:rPr>
              <w:t>智能多通道颗粒物采样器</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59805671">
            <w:pPr>
              <w:rPr>
                <w:rFonts w:hint="eastAsia" w:ascii="宋体" w:hAnsi="宋体" w:eastAsia="宋体"/>
                <w:color w:val="auto"/>
                <w:lang w:eastAsia="zh-CN"/>
              </w:rPr>
            </w:pPr>
            <w:r>
              <w:rPr>
                <w:rFonts w:hint="eastAsia" w:ascii="宋体" w:hAnsi="宋体" w:eastAsia="宋体"/>
                <w:color w:val="auto"/>
                <w:lang w:val="en-US" w:eastAsia="zh-CN"/>
              </w:rPr>
              <w:t>8.</w:t>
            </w:r>
            <w:r>
              <w:rPr>
                <w:rFonts w:hint="eastAsia" w:ascii="宋体" w:hAnsi="宋体" w:eastAsia="宋体"/>
                <w:color w:val="auto"/>
              </w:rPr>
              <w:t>小无人机</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2B2F5293">
            <w:pPr>
              <w:rPr>
                <w:rFonts w:hint="eastAsia" w:ascii="宋体" w:hAnsi="宋体" w:eastAsia="宋体"/>
                <w:color w:val="auto"/>
                <w:lang w:eastAsia="zh-CN"/>
              </w:rPr>
            </w:pPr>
            <w:r>
              <w:rPr>
                <w:rFonts w:hint="eastAsia" w:ascii="宋体" w:hAnsi="宋体" w:eastAsia="宋体"/>
                <w:color w:val="auto"/>
                <w:lang w:val="en-US" w:eastAsia="zh-CN"/>
              </w:rPr>
              <w:t>9.</w:t>
            </w:r>
            <w:r>
              <w:rPr>
                <w:rFonts w:hint="eastAsia" w:ascii="宋体" w:hAnsi="宋体" w:eastAsia="宋体"/>
                <w:color w:val="auto"/>
              </w:rPr>
              <w:t>热释光测量系统</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6DA86D7F">
            <w:pPr>
              <w:rPr>
                <w:rFonts w:hint="eastAsia" w:ascii="宋体" w:hAnsi="宋体" w:eastAsia="宋体"/>
                <w:color w:val="auto"/>
              </w:rPr>
            </w:pPr>
            <w:r>
              <w:rPr>
                <w:rFonts w:hint="eastAsia" w:ascii="宋体" w:hAnsi="宋体" w:eastAsia="宋体"/>
                <w:color w:val="auto"/>
                <w:lang w:val="en-US" w:eastAsia="zh-CN"/>
              </w:rPr>
              <w:t>10.</w:t>
            </w:r>
            <w:r>
              <w:rPr>
                <w:rFonts w:hint="eastAsia" w:ascii="宋体" w:hAnsi="宋体" w:eastAsia="宋体"/>
                <w:color w:val="auto"/>
              </w:rPr>
              <w:t>辐射防护装备</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4775E436">
            <w:pPr>
              <w:rPr>
                <w:rFonts w:hint="eastAsia" w:ascii="宋体" w:hAnsi="宋体" w:eastAsia="宋体"/>
                <w:color w:val="auto"/>
                <w:lang w:eastAsia="zh-CN"/>
              </w:rPr>
            </w:pPr>
            <w:r>
              <w:rPr>
                <w:rFonts w:hint="eastAsia" w:ascii="宋体" w:hAnsi="宋体" w:eastAsia="宋体"/>
                <w:color w:val="auto"/>
                <w:lang w:val="en-US" w:eastAsia="zh-CN"/>
              </w:rPr>
              <w:t>11.</w:t>
            </w:r>
            <w:r>
              <w:rPr>
                <w:rFonts w:hint="eastAsia" w:ascii="宋体" w:hAnsi="宋体" w:eastAsia="宋体"/>
                <w:color w:val="auto"/>
              </w:rPr>
              <w:t>离子计</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03BD1DE6">
            <w:pPr>
              <w:rPr>
                <w:rFonts w:hint="eastAsia" w:ascii="宋体" w:hAnsi="宋体" w:eastAsia="宋体"/>
                <w:color w:val="auto"/>
                <w:lang w:eastAsia="zh-CN"/>
              </w:rPr>
            </w:pPr>
            <w:r>
              <w:rPr>
                <w:rFonts w:hint="eastAsia" w:ascii="宋体" w:hAnsi="宋体" w:eastAsia="宋体"/>
                <w:color w:val="auto"/>
                <w:lang w:val="en-US" w:eastAsia="zh-CN"/>
              </w:rPr>
              <w:t>12.</w:t>
            </w:r>
            <w:r>
              <w:rPr>
                <w:rFonts w:hint="eastAsia" w:ascii="宋体" w:hAnsi="宋体" w:eastAsia="宋体"/>
                <w:color w:val="auto"/>
              </w:rPr>
              <w:t>测氡仪</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2C714770">
            <w:pPr>
              <w:rPr>
                <w:rFonts w:hint="eastAsia" w:ascii="宋体" w:hAnsi="宋体" w:eastAsia="宋体"/>
                <w:color w:val="auto"/>
                <w:lang w:eastAsia="zh-CN"/>
              </w:rPr>
            </w:pPr>
            <w:r>
              <w:rPr>
                <w:rFonts w:hint="eastAsia" w:ascii="宋体" w:hAnsi="宋体" w:eastAsia="宋体"/>
                <w:color w:val="auto"/>
                <w:lang w:val="en-US" w:eastAsia="zh-CN"/>
              </w:rPr>
              <w:t>13.</w:t>
            </w:r>
            <w:r>
              <w:rPr>
                <w:rFonts w:hint="eastAsia" w:ascii="宋体" w:hAnsi="宋体" w:eastAsia="宋体"/>
                <w:color w:val="auto"/>
              </w:rPr>
              <w:t>手持式寻源仪</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3A8E9A77">
            <w:pPr>
              <w:rPr>
                <w:rFonts w:hint="eastAsia" w:ascii="宋体" w:hAnsi="宋体" w:eastAsia="宋体"/>
                <w:color w:val="auto"/>
                <w:lang w:eastAsia="zh-CN"/>
              </w:rPr>
            </w:pPr>
            <w:r>
              <w:rPr>
                <w:rFonts w:hint="eastAsia" w:ascii="宋体" w:hAnsi="宋体" w:eastAsia="宋体"/>
                <w:color w:val="auto"/>
                <w:lang w:val="en-US" w:eastAsia="zh-CN"/>
              </w:rPr>
              <w:t>14.</w:t>
            </w:r>
            <w:r>
              <w:rPr>
                <w:rFonts w:hint="eastAsia" w:ascii="宋体" w:hAnsi="宋体" w:eastAsia="宋体"/>
                <w:color w:val="auto"/>
              </w:rPr>
              <w:t>高速冷冻离心机</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000F2FCF">
            <w:pPr>
              <w:rPr>
                <w:rFonts w:hint="eastAsia" w:ascii="宋体" w:hAnsi="宋体" w:eastAsia="宋体"/>
                <w:color w:val="auto"/>
                <w:lang w:eastAsia="zh-CN"/>
              </w:rPr>
            </w:pPr>
            <w:r>
              <w:rPr>
                <w:rFonts w:hint="eastAsia" w:ascii="宋体" w:hAnsi="宋体" w:eastAsia="宋体"/>
                <w:color w:val="auto"/>
                <w:lang w:val="en-US" w:eastAsia="zh-CN"/>
              </w:rPr>
              <w:t>15.</w:t>
            </w:r>
            <w:r>
              <w:rPr>
                <w:rFonts w:hint="eastAsia" w:ascii="宋体" w:hAnsi="宋体" w:eastAsia="宋体"/>
                <w:color w:val="auto"/>
              </w:rPr>
              <w:t>氮磷检测器</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01F04428">
            <w:pPr>
              <w:rPr>
                <w:rFonts w:hint="eastAsia" w:ascii="宋体" w:hAnsi="宋体" w:eastAsia="宋体"/>
                <w:color w:val="auto"/>
                <w:lang w:eastAsia="zh-CN"/>
              </w:rPr>
            </w:pPr>
            <w:r>
              <w:rPr>
                <w:rFonts w:hint="eastAsia" w:ascii="宋体" w:hAnsi="宋体" w:eastAsia="宋体"/>
                <w:color w:val="auto"/>
                <w:lang w:val="en-US" w:eastAsia="zh-CN"/>
              </w:rPr>
              <w:t>16.</w:t>
            </w:r>
            <w:r>
              <w:rPr>
                <w:rFonts w:hint="eastAsia" w:ascii="宋体" w:hAnsi="宋体" w:eastAsia="宋体"/>
                <w:color w:val="auto"/>
              </w:rPr>
              <w:t>烷基汞蒸馏仪</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5F7F7CDA">
            <w:pPr>
              <w:rPr>
                <w:rFonts w:hint="eastAsia" w:ascii="宋体" w:hAnsi="宋体" w:eastAsia="宋体"/>
                <w:color w:val="auto"/>
                <w:lang w:val="en-US" w:eastAsia="zh-CN"/>
              </w:rPr>
            </w:pPr>
            <w:r>
              <w:rPr>
                <w:rFonts w:hint="eastAsia" w:ascii="宋体" w:hAnsi="宋体" w:eastAsia="宋体"/>
                <w:color w:val="auto"/>
                <w:lang w:val="en-US" w:eastAsia="zh-CN"/>
              </w:rPr>
              <w:t>17.</w:t>
            </w:r>
            <w:r>
              <w:rPr>
                <w:rFonts w:hint="eastAsia" w:ascii="宋体" w:hAnsi="宋体" w:eastAsia="宋体"/>
                <w:color w:val="auto"/>
              </w:rPr>
              <w:t>水质监测采样无人船</w:t>
            </w:r>
            <w:r>
              <w:rPr>
                <w:rFonts w:hint="eastAsia" w:ascii="宋体" w:hAnsi="宋体" w:eastAsia="宋体"/>
                <w:color w:val="auto"/>
                <w:lang w:eastAsia="zh-CN"/>
              </w:rPr>
              <w:t>：</w:t>
            </w:r>
            <w:r>
              <w:rPr>
                <w:rFonts w:hint="eastAsia" w:ascii="宋体" w:hAnsi="宋体" w:eastAsia="宋体"/>
                <w:color w:val="auto"/>
                <w:lang w:val="en-US" w:eastAsia="zh-CN"/>
              </w:rPr>
              <w:t>每满足一个得1分，最多得11分。</w:t>
            </w:r>
          </w:p>
          <w:p w14:paraId="01FDFB76">
            <w:pPr>
              <w:rPr>
                <w:rFonts w:hint="eastAsia" w:ascii="宋体" w:hAnsi="宋体" w:eastAsia="宋体"/>
                <w:color w:val="auto"/>
                <w:lang w:eastAsia="zh-CN"/>
              </w:rPr>
            </w:pPr>
            <w:r>
              <w:rPr>
                <w:rFonts w:hint="eastAsia" w:ascii="宋体" w:hAnsi="宋体" w:eastAsia="宋体"/>
                <w:color w:val="auto"/>
                <w:lang w:val="en-US" w:eastAsia="zh-CN"/>
              </w:rPr>
              <w:t>18.</w:t>
            </w:r>
            <w:r>
              <w:rPr>
                <w:rFonts w:hint="eastAsia" w:ascii="宋体" w:hAnsi="宋体" w:eastAsia="宋体"/>
                <w:color w:val="auto"/>
              </w:rPr>
              <w:t>气体流量校准器</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1449B50C">
            <w:pPr>
              <w:rPr>
                <w:rFonts w:hint="eastAsia" w:ascii="宋体" w:hAnsi="宋体" w:eastAsia="宋体"/>
                <w:color w:val="auto"/>
                <w:lang w:eastAsia="zh-CN"/>
              </w:rPr>
            </w:pPr>
            <w:r>
              <w:rPr>
                <w:rFonts w:hint="eastAsia" w:ascii="宋体" w:hAnsi="宋体" w:eastAsia="宋体"/>
                <w:color w:val="auto"/>
                <w:lang w:val="en-US" w:eastAsia="zh-CN"/>
              </w:rPr>
              <w:t>19.</w:t>
            </w:r>
            <w:r>
              <w:rPr>
                <w:rFonts w:hint="eastAsia" w:ascii="宋体" w:hAnsi="宋体" w:eastAsia="宋体"/>
                <w:color w:val="auto"/>
              </w:rPr>
              <w:t>荧光分光光度计</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2</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2275F477">
            <w:pPr>
              <w:rPr>
                <w:rFonts w:hint="eastAsia" w:ascii="宋体" w:hAnsi="宋体" w:eastAsia="宋体"/>
                <w:color w:val="auto"/>
                <w:lang w:eastAsia="zh-CN"/>
              </w:rPr>
            </w:pPr>
            <w:r>
              <w:rPr>
                <w:rFonts w:hint="eastAsia" w:ascii="宋体" w:hAnsi="宋体" w:eastAsia="宋体"/>
                <w:color w:val="auto"/>
                <w:lang w:val="en-US" w:eastAsia="zh-CN"/>
              </w:rPr>
              <w:t>20.</w:t>
            </w:r>
            <w:r>
              <w:rPr>
                <w:rFonts w:hint="eastAsia" w:ascii="宋体" w:hAnsi="宋体" w:eastAsia="宋体"/>
                <w:color w:val="auto"/>
              </w:rPr>
              <w:t>多光谱小型无人机</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0C0C88AF">
            <w:pPr>
              <w:rPr>
                <w:rFonts w:hint="eastAsia" w:ascii="宋体" w:hAnsi="宋体" w:eastAsia="宋体"/>
                <w:color w:val="auto"/>
                <w:lang w:eastAsia="zh-CN"/>
              </w:rPr>
            </w:pPr>
            <w:r>
              <w:rPr>
                <w:rFonts w:hint="eastAsia" w:ascii="宋体" w:hAnsi="宋体" w:eastAsia="宋体"/>
                <w:color w:val="auto"/>
                <w:lang w:val="en-US" w:eastAsia="zh-CN"/>
              </w:rPr>
              <w:t>21.</w:t>
            </w:r>
            <w:r>
              <w:rPr>
                <w:rFonts w:hint="eastAsia" w:ascii="宋体" w:hAnsi="宋体" w:eastAsia="宋体"/>
                <w:color w:val="auto"/>
              </w:rPr>
              <w:t>台式恒温振荡器</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1</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3AFF3DFF">
            <w:pPr>
              <w:rPr>
                <w:rFonts w:hint="eastAsia" w:ascii="宋体" w:hAnsi="宋体" w:eastAsia="宋体"/>
                <w:color w:val="auto"/>
                <w:lang w:eastAsia="zh-CN"/>
              </w:rPr>
            </w:pPr>
            <w:r>
              <w:rPr>
                <w:rFonts w:hint="eastAsia" w:ascii="宋体" w:hAnsi="宋体" w:eastAsia="宋体"/>
                <w:color w:val="auto"/>
                <w:lang w:val="en-US" w:eastAsia="zh-CN"/>
              </w:rPr>
              <w:t>22.</w:t>
            </w:r>
            <w:r>
              <w:rPr>
                <w:rFonts w:hint="eastAsia" w:ascii="宋体" w:hAnsi="宋体" w:eastAsia="宋体"/>
                <w:color w:val="auto"/>
              </w:rPr>
              <w:t>危化品安全管理智能设备及系统</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2</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p w14:paraId="018EAA05">
            <w:pPr>
              <w:rPr>
                <w:color w:val="auto"/>
              </w:rPr>
            </w:pPr>
            <w:r>
              <w:rPr>
                <w:rFonts w:hint="eastAsia" w:ascii="宋体" w:hAnsi="宋体" w:eastAsia="宋体"/>
                <w:color w:val="auto"/>
                <w:lang w:val="en-US" w:eastAsia="zh-CN"/>
              </w:rPr>
              <w:t>23.</w:t>
            </w:r>
            <w:r>
              <w:rPr>
                <w:rFonts w:hint="eastAsia" w:ascii="宋体" w:hAnsi="宋体" w:eastAsia="宋体"/>
                <w:color w:val="auto"/>
              </w:rPr>
              <w:t>标准品信息化储存管理系统</w:t>
            </w:r>
            <w:r>
              <w:rPr>
                <w:rFonts w:hint="eastAsia" w:ascii="宋体" w:hAnsi="宋体" w:eastAsia="宋体"/>
                <w:color w:val="auto"/>
                <w:lang w:eastAsia="zh-CN"/>
              </w:rPr>
              <w:t>：</w:t>
            </w:r>
            <w:r>
              <w:rPr>
                <w:rFonts w:hint="eastAsia" w:ascii="宋体" w:hAnsi="宋体" w:eastAsia="宋体"/>
                <w:color w:val="auto"/>
                <w:lang w:val="en-US" w:eastAsia="zh-CN"/>
              </w:rPr>
              <w:t>完全</w:t>
            </w:r>
            <w:r>
              <w:rPr>
                <w:rFonts w:hint="eastAsia" w:ascii="宋体" w:hAnsi="宋体" w:eastAsia="宋体"/>
                <w:color w:val="auto"/>
              </w:rPr>
              <w:t>满足</w:t>
            </w:r>
            <w:r>
              <w:rPr>
                <w:rFonts w:hint="eastAsia" w:ascii="宋体" w:hAnsi="宋体" w:eastAsia="宋体"/>
                <w:color w:val="auto"/>
                <w:lang w:val="en-US" w:eastAsia="zh-CN"/>
              </w:rPr>
              <w:t>招标文件要求的，</w:t>
            </w:r>
            <w:r>
              <w:rPr>
                <w:rFonts w:hint="eastAsia" w:ascii="宋体" w:hAnsi="宋体" w:eastAsia="宋体"/>
                <w:color w:val="auto"/>
              </w:rPr>
              <w:t>得</w:t>
            </w:r>
            <w:r>
              <w:rPr>
                <w:rFonts w:hint="eastAsia" w:ascii="宋体" w:hAnsi="宋体" w:eastAsia="宋体"/>
                <w:color w:val="auto"/>
                <w:lang w:val="en-US" w:eastAsia="zh-CN"/>
              </w:rPr>
              <w:t>2</w:t>
            </w:r>
            <w:r>
              <w:rPr>
                <w:rFonts w:hint="eastAsia" w:ascii="宋体" w:hAnsi="宋体" w:eastAsia="宋体"/>
                <w:color w:val="auto"/>
              </w:rPr>
              <w:t>分，</w:t>
            </w:r>
            <w:r>
              <w:rPr>
                <w:rFonts w:hint="eastAsia" w:ascii="宋体" w:hAnsi="宋体" w:eastAsia="宋体"/>
                <w:color w:val="auto"/>
                <w:lang w:val="en-US" w:eastAsia="zh-CN"/>
              </w:rPr>
              <w:t>其它不得</w:t>
            </w:r>
            <w:r>
              <w:rPr>
                <w:rFonts w:hint="eastAsia" w:ascii="宋体" w:hAnsi="宋体" w:eastAsia="宋体"/>
                <w:color w:val="auto"/>
              </w:rPr>
              <w:t>分。</w:t>
            </w:r>
          </w:p>
        </w:tc>
        <w:tc>
          <w:tcPr>
            <w:tcW w:w="757" w:type="dxa"/>
            <w:noWrap/>
            <w:vAlign w:val="center"/>
          </w:tcPr>
          <w:p w14:paraId="2AFDCA59">
            <w:pPr>
              <w:ind w:firstLine="210" w:firstLineChars="100"/>
              <w:rPr>
                <w:rFonts w:ascii="Times New Roman" w:hAnsi="Times New Roman" w:eastAsia="宋体"/>
                <w:color w:val="auto"/>
              </w:rPr>
            </w:pPr>
            <w:r>
              <w:rPr>
                <w:rFonts w:hint="eastAsia" w:ascii="Times New Roman" w:hAnsi="Times New Roman" w:eastAsia="宋体"/>
                <w:color w:val="auto"/>
                <w:lang w:val="en-US" w:eastAsia="zh-CN"/>
              </w:rPr>
              <w:t>客</w:t>
            </w:r>
          </w:p>
        </w:tc>
      </w:tr>
      <w:tr w14:paraId="6924D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4" w:hRule="atLeast"/>
          <w:jc w:val="center"/>
        </w:trPr>
        <w:tc>
          <w:tcPr>
            <w:tcW w:w="1135" w:type="dxa"/>
            <w:vMerge w:val="continue"/>
            <w:noWrap/>
            <w:vAlign w:val="center"/>
          </w:tcPr>
          <w:p w14:paraId="4ABDB9C1">
            <w:pPr>
              <w:spacing w:line="312" w:lineRule="auto"/>
              <w:jc w:val="center"/>
              <w:rPr>
                <w:rFonts w:ascii="Times New Roman" w:hAnsi="Times New Roman" w:eastAsia="宋体"/>
                <w:color w:val="auto"/>
              </w:rPr>
            </w:pPr>
          </w:p>
        </w:tc>
        <w:tc>
          <w:tcPr>
            <w:tcW w:w="1134" w:type="dxa"/>
            <w:vMerge w:val="continue"/>
            <w:noWrap/>
            <w:vAlign w:val="center"/>
          </w:tcPr>
          <w:p w14:paraId="3D708549">
            <w:pPr>
              <w:rPr>
                <w:rFonts w:hint="eastAsia" w:ascii="宋体" w:hAnsi="宋体" w:eastAsia="宋体"/>
                <w:color w:val="auto"/>
              </w:rPr>
            </w:pPr>
          </w:p>
        </w:tc>
        <w:tc>
          <w:tcPr>
            <w:tcW w:w="7236" w:type="dxa"/>
            <w:shd w:val="clear" w:color="auto" w:fill="FFFFFF"/>
            <w:noWrap/>
            <w:vAlign w:val="center"/>
          </w:tcPr>
          <w:p w14:paraId="0442A3B5">
            <w:pPr>
              <w:rPr>
                <w:rFonts w:hint="eastAsia" w:ascii="宋体" w:hAnsi="宋体" w:eastAsia="宋体"/>
                <w:color w:val="auto"/>
              </w:rPr>
            </w:pPr>
            <w:r>
              <w:rPr>
                <w:rFonts w:hint="eastAsia" w:ascii="宋体" w:hAnsi="宋体" w:eastAsia="宋体"/>
                <w:color w:val="auto"/>
              </w:rPr>
              <w:t>整体技术方案条理清晰，层次分明，操作性强, 其配置和性能完全满足本项目运行的需求的，得</w:t>
            </w:r>
            <w:r>
              <w:rPr>
                <w:rFonts w:hint="eastAsia" w:ascii="宋体" w:hAnsi="宋体" w:eastAsia="宋体"/>
                <w:color w:val="auto"/>
                <w:lang w:val="en-US" w:eastAsia="zh-CN"/>
              </w:rPr>
              <w:t>5</w:t>
            </w:r>
            <w:r>
              <w:rPr>
                <w:rFonts w:hint="eastAsia" w:ascii="宋体" w:hAnsi="宋体" w:eastAsia="宋体"/>
                <w:color w:val="auto"/>
              </w:rPr>
              <w:t>分；</w:t>
            </w:r>
          </w:p>
          <w:p w14:paraId="7AC9BEFF">
            <w:pPr>
              <w:rPr>
                <w:rFonts w:hint="eastAsia" w:ascii="宋体" w:hAnsi="宋体" w:eastAsia="宋体"/>
                <w:color w:val="auto"/>
              </w:rPr>
            </w:pPr>
            <w:r>
              <w:rPr>
                <w:rFonts w:hint="eastAsia" w:ascii="宋体" w:hAnsi="宋体" w:eastAsia="宋体"/>
                <w:color w:val="auto"/>
              </w:rPr>
              <w:t>技术方案基本满足招标要求的，得</w:t>
            </w:r>
            <w:r>
              <w:rPr>
                <w:rFonts w:hint="eastAsia" w:ascii="宋体" w:hAnsi="宋体" w:eastAsia="宋体"/>
                <w:color w:val="auto"/>
                <w:lang w:val="en-US" w:eastAsia="zh-CN"/>
              </w:rPr>
              <w:t>3</w:t>
            </w:r>
            <w:r>
              <w:rPr>
                <w:rFonts w:hint="eastAsia" w:ascii="宋体" w:hAnsi="宋体" w:eastAsia="宋体"/>
                <w:color w:val="auto"/>
              </w:rPr>
              <w:t>分；</w:t>
            </w:r>
          </w:p>
          <w:p w14:paraId="758A9872">
            <w:pPr>
              <w:rPr>
                <w:rFonts w:hint="eastAsia" w:ascii="宋体" w:hAnsi="宋体" w:eastAsia="宋体"/>
                <w:color w:val="auto"/>
              </w:rPr>
            </w:pPr>
            <w:r>
              <w:rPr>
                <w:rFonts w:hint="eastAsia" w:ascii="宋体" w:hAnsi="宋体" w:eastAsia="宋体"/>
                <w:color w:val="auto"/>
              </w:rPr>
              <w:t>技术方案简单的，得</w:t>
            </w:r>
            <w:r>
              <w:rPr>
                <w:rFonts w:hint="eastAsia" w:ascii="宋体" w:hAnsi="宋体" w:eastAsia="宋体"/>
                <w:color w:val="auto"/>
                <w:lang w:val="en-US" w:eastAsia="zh-CN"/>
              </w:rPr>
              <w:t>1</w:t>
            </w:r>
            <w:r>
              <w:rPr>
                <w:rFonts w:hint="eastAsia" w:ascii="宋体" w:hAnsi="宋体" w:eastAsia="宋体"/>
                <w:color w:val="auto"/>
              </w:rPr>
              <w:t>分；</w:t>
            </w:r>
          </w:p>
          <w:p w14:paraId="42F553E7">
            <w:pPr>
              <w:rPr>
                <w:rFonts w:hint="eastAsia" w:ascii="宋体" w:hAnsi="宋体" w:eastAsia="宋体"/>
                <w:color w:val="auto"/>
              </w:rPr>
            </w:pPr>
            <w:r>
              <w:rPr>
                <w:rFonts w:hint="eastAsia" w:ascii="宋体" w:hAnsi="宋体" w:eastAsia="宋体"/>
                <w:color w:val="auto"/>
              </w:rPr>
              <w:t>完全不满足的不得分。</w:t>
            </w:r>
          </w:p>
        </w:tc>
        <w:tc>
          <w:tcPr>
            <w:tcW w:w="757" w:type="dxa"/>
            <w:noWrap/>
            <w:vAlign w:val="center"/>
          </w:tcPr>
          <w:p w14:paraId="62D2735E">
            <w:pPr>
              <w:ind w:firstLine="210" w:firstLineChars="100"/>
              <w:rPr>
                <w:rFonts w:ascii="Times New Roman" w:hAnsi="Times New Roman" w:eastAsia="宋体"/>
                <w:color w:val="auto"/>
              </w:rPr>
            </w:pPr>
          </w:p>
        </w:tc>
      </w:tr>
      <w:tr w14:paraId="4A228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35" w:type="dxa"/>
            <w:vMerge w:val="continue"/>
            <w:noWrap/>
            <w:vAlign w:val="center"/>
          </w:tcPr>
          <w:p w14:paraId="3E75039F">
            <w:pPr>
              <w:spacing w:line="312" w:lineRule="auto"/>
              <w:jc w:val="center"/>
              <w:rPr>
                <w:rFonts w:ascii="Times New Roman" w:hAnsi="Times New Roman" w:eastAsia="宋体"/>
                <w:color w:val="auto"/>
              </w:rPr>
            </w:pPr>
          </w:p>
        </w:tc>
        <w:tc>
          <w:tcPr>
            <w:tcW w:w="1134" w:type="dxa"/>
            <w:noWrap/>
            <w:vAlign w:val="center"/>
          </w:tcPr>
          <w:p w14:paraId="56279FFB">
            <w:pPr>
              <w:jc w:val="center"/>
              <w:rPr>
                <w:rFonts w:ascii="Times New Roman" w:hAnsi="Times New Roman" w:eastAsia="宋体"/>
                <w:color w:val="auto"/>
              </w:rPr>
            </w:pPr>
            <w:r>
              <w:rPr>
                <w:rFonts w:hint="eastAsia" w:ascii="Times New Roman" w:hAnsi="Times New Roman" w:eastAsia="宋体"/>
                <w:color w:val="auto"/>
              </w:rPr>
              <w:t>组织实施方案</w:t>
            </w:r>
          </w:p>
          <w:p w14:paraId="39903296">
            <w:pPr>
              <w:jc w:val="center"/>
              <w:rPr>
                <w:rFonts w:ascii="Times New Roman" w:hAnsi="Times New Roman" w:eastAsia="宋体"/>
                <w:color w:val="auto"/>
              </w:rPr>
            </w:pPr>
            <w:r>
              <w:rPr>
                <w:rFonts w:hint="eastAsia" w:ascii="Times New Roman" w:hAnsi="Times New Roman" w:eastAsia="宋体"/>
                <w:color w:val="auto"/>
              </w:rPr>
              <w:t>（</w:t>
            </w:r>
            <w:r>
              <w:rPr>
                <w:rFonts w:hint="eastAsia" w:ascii="Times New Roman" w:hAnsi="Times New Roman" w:eastAsia="宋体"/>
                <w:color w:val="auto"/>
                <w:lang w:val="en-US" w:eastAsia="zh-CN"/>
              </w:rPr>
              <w:t>5</w:t>
            </w:r>
            <w:r>
              <w:rPr>
                <w:rFonts w:hint="eastAsia" w:ascii="Times New Roman" w:hAnsi="Times New Roman" w:eastAsia="宋体"/>
                <w:color w:val="auto"/>
              </w:rPr>
              <w:t>分）</w:t>
            </w:r>
          </w:p>
        </w:tc>
        <w:tc>
          <w:tcPr>
            <w:tcW w:w="7236" w:type="dxa"/>
            <w:shd w:val="clear" w:color="auto" w:fill="FFFFFF"/>
            <w:noWrap/>
            <w:vAlign w:val="center"/>
          </w:tcPr>
          <w:p w14:paraId="6A370C3B">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投标人组织实施方案的完整性、合理性等：</w:t>
            </w:r>
          </w:p>
          <w:p w14:paraId="044F69E3">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方案完整、合理，满足招标文件要求的，得</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分;</w:t>
            </w:r>
          </w:p>
          <w:p w14:paraId="442E2A4F">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方案较完整合理，基本满足招标文件要求的，得</w:t>
            </w:r>
            <w:r>
              <w:rPr>
                <w:rFonts w:hint="eastAsia" w:ascii="Times New Roman" w:hAnsi="Times New Roman" w:eastAsia="宋体"/>
                <w:color w:val="auto"/>
                <w:szCs w:val="21"/>
                <w:lang w:val="en-US" w:eastAsia="zh-CN"/>
              </w:rPr>
              <w:t>3</w:t>
            </w:r>
            <w:r>
              <w:rPr>
                <w:rFonts w:hint="eastAsia" w:ascii="Times New Roman" w:hAnsi="Times New Roman" w:eastAsia="宋体"/>
                <w:color w:val="auto"/>
                <w:szCs w:val="21"/>
              </w:rPr>
              <w:t>分;</w:t>
            </w:r>
          </w:p>
          <w:p w14:paraId="032E43CC">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方案简单的，得</w:t>
            </w:r>
            <w:r>
              <w:rPr>
                <w:rFonts w:hint="eastAsia" w:ascii="Times New Roman" w:hAnsi="Times New Roman" w:eastAsia="宋体"/>
                <w:color w:val="auto"/>
                <w:szCs w:val="21"/>
                <w:lang w:val="en-US" w:eastAsia="zh-CN"/>
              </w:rPr>
              <w:t>1</w:t>
            </w:r>
            <w:r>
              <w:rPr>
                <w:rFonts w:hint="eastAsia" w:ascii="Times New Roman" w:hAnsi="Times New Roman" w:eastAsia="宋体"/>
                <w:color w:val="auto"/>
                <w:szCs w:val="21"/>
              </w:rPr>
              <w:t>分；</w:t>
            </w:r>
          </w:p>
          <w:p w14:paraId="2656C4ED">
            <w:pPr>
              <w:adjustRightInd w:val="0"/>
              <w:snapToGrid w:val="0"/>
              <w:rPr>
                <w:rFonts w:ascii="Times New Roman" w:hAnsi="Calibri" w:eastAsia="宋体"/>
                <w:color w:val="auto"/>
                <w:kern w:val="0"/>
              </w:rPr>
            </w:pPr>
            <w:r>
              <w:rPr>
                <w:rFonts w:hint="eastAsia" w:ascii="Times New Roman" w:hAnsi="Times New Roman" w:eastAsia="宋体"/>
                <w:color w:val="auto"/>
                <w:szCs w:val="21"/>
              </w:rPr>
              <w:t>无法满足招标文件要求的不得分。</w:t>
            </w:r>
          </w:p>
        </w:tc>
        <w:tc>
          <w:tcPr>
            <w:tcW w:w="757" w:type="dxa"/>
            <w:noWrap/>
            <w:vAlign w:val="center"/>
          </w:tcPr>
          <w:p w14:paraId="15E63AC8">
            <w:pPr>
              <w:ind w:firstLine="210" w:firstLineChars="100"/>
              <w:rPr>
                <w:rFonts w:ascii="Times New Roman" w:hAnsi="Times New Roman" w:eastAsia="宋体"/>
                <w:color w:val="auto"/>
              </w:rPr>
            </w:pPr>
          </w:p>
        </w:tc>
      </w:tr>
      <w:tr w14:paraId="78EB4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3" w:hRule="atLeast"/>
          <w:jc w:val="center"/>
        </w:trPr>
        <w:tc>
          <w:tcPr>
            <w:tcW w:w="1135" w:type="dxa"/>
            <w:vMerge w:val="continue"/>
            <w:noWrap/>
            <w:vAlign w:val="center"/>
          </w:tcPr>
          <w:p w14:paraId="1516DFF2">
            <w:pPr>
              <w:spacing w:line="312" w:lineRule="auto"/>
              <w:jc w:val="center"/>
              <w:rPr>
                <w:rFonts w:ascii="Times New Roman" w:hAnsi="Times New Roman" w:eastAsia="宋体"/>
                <w:color w:val="auto"/>
              </w:rPr>
            </w:pPr>
          </w:p>
        </w:tc>
        <w:tc>
          <w:tcPr>
            <w:tcW w:w="1134" w:type="dxa"/>
            <w:vMerge w:val="restart"/>
            <w:noWrap/>
            <w:vAlign w:val="center"/>
          </w:tcPr>
          <w:p w14:paraId="39183F7E">
            <w:pPr>
              <w:jc w:val="center"/>
              <w:rPr>
                <w:rFonts w:ascii="Times New Roman" w:hAnsi="Calibri" w:eastAsia="宋体"/>
                <w:color w:val="auto"/>
                <w:kern w:val="0"/>
              </w:rPr>
            </w:pPr>
            <w:r>
              <w:rPr>
                <w:rFonts w:hint="eastAsia" w:ascii="Times New Roman" w:hAnsi="Calibri" w:eastAsia="宋体"/>
                <w:color w:val="auto"/>
                <w:kern w:val="0"/>
              </w:rPr>
              <w:t>售后服务方案情况（</w:t>
            </w:r>
            <w:r>
              <w:rPr>
                <w:rFonts w:hint="eastAsia" w:ascii="Times New Roman" w:hAnsi="Calibri" w:eastAsia="宋体"/>
                <w:color w:val="auto"/>
                <w:kern w:val="0"/>
                <w:lang w:val="en-US" w:eastAsia="zh-CN"/>
              </w:rPr>
              <w:t>5</w:t>
            </w:r>
            <w:r>
              <w:rPr>
                <w:rFonts w:hint="eastAsia" w:ascii="Times New Roman" w:hAnsi="Calibri" w:eastAsia="宋体"/>
                <w:color w:val="auto"/>
                <w:kern w:val="0"/>
              </w:rPr>
              <w:t>分）</w:t>
            </w:r>
          </w:p>
        </w:tc>
        <w:tc>
          <w:tcPr>
            <w:tcW w:w="7236" w:type="dxa"/>
            <w:shd w:val="clear" w:color="auto" w:fill="FFFFFF"/>
            <w:noWrap/>
            <w:vAlign w:val="center"/>
          </w:tcPr>
          <w:p w14:paraId="1175EC3B">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投标人提供的售后服务内容承诺和保障措施、故障修复时间、优惠条件、质保期、服务网点等情况；对该项目提供全程的维修服务和系统保障。</w:t>
            </w:r>
          </w:p>
          <w:p w14:paraId="7523F178">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售后服务承诺完整，保障措施全面的，得</w:t>
            </w:r>
            <w:r>
              <w:rPr>
                <w:rFonts w:hint="eastAsia" w:ascii="Times New Roman" w:hAnsi="Times New Roman" w:eastAsia="宋体"/>
                <w:color w:val="auto"/>
                <w:szCs w:val="21"/>
                <w:lang w:val="en-US" w:eastAsia="zh-CN"/>
              </w:rPr>
              <w:t>3</w:t>
            </w:r>
            <w:r>
              <w:rPr>
                <w:rFonts w:hint="eastAsia" w:ascii="Times New Roman" w:hAnsi="Times New Roman" w:eastAsia="宋体"/>
                <w:color w:val="auto"/>
                <w:szCs w:val="21"/>
              </w:rPr>
              <w:t>分；</w:t>
            </w:r>
          </w:p>
          <w:p w14:paraId="748A95AA">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售后服务承诺基本完整的，得</w:t>
            </w:r>
            <w:r>
              <w:rPr>
                <w:rFonts w:hint="eastAsia" w:ascii="Times New Roman" w:hAnsi="Times New Roman" w:eastAsia="宋体"/>
                <w:color w:val="auto"/>
                <w:szCs w:val="21"/>
                <w:lang w:val="en-US" w:eastAsia="zh-CN"/>
              </w:rPr>
              <w:t>1</w:t>
            </w:r>
            <w:r>
              <w:rPr>
                <w:rFonts w:hint="eastAsia" w:ascii="Times New Roman" w:hAnsi="Times New Roman" w:eastAsia="宋体"/>
                <w:color w:val="auto"/>
                <w:szCs w:val="21"/>
              </w:rPr>
              <w:t>分；</w:t>
            </w:r>
          </w:p>
          <w:p w14:paraId="66FE3DE9">
            <w:pPr>
              <w:adjustRightInd w:val="0"/>
              <w:snapToGrid w:val="0"/>
              <w:rPr>
                <w:rFonts w:ascii="Times New Roman" w:hAnsi="Times New Roman" w:eastAsia="宋体"/>
                <w:color w:val="auto"/>
                <w:szCs w:val="21"/>
              </w:rPr>
            </w:pPr>
            <w:r>
              <w:rPr>
                <w:rFonts w:hint="eastAsia" w:ascii="Times New Roman" w:hAnsi="Times New Roman" w:eastAsia="宋体"/>
                <w:color w:val="auto"/>
                <w:szCs w:val="21"/>
              </w:rPr>
              <w:t>未响应或未提及不得分。</w:t>
            </w:r>
          </w:p>
        </w:tc>
        <w:tc>
          <w:tcPr>
            <w:tcW w:w="757" w:type="dxa"/>
            <w:noWrap/>
            <w:vAlign w:val="center"/>
          </w:tcPr>
          <w:p w14:paraId="2190C363">
            <w:pPr>
              <w:ind w:firstLine="210" w:firstLineChars="100"/>
              <w:rPr>
                <w:rFonts w:ascii="Times New Roman" w:hAnsi="Times New Roman" w:eastAsia="宋体"/>
                <w:color w:val="auto"/>
              </w:rPr>
            </w:pPr>
          </w:p>
        </w:tc>
      </w:tr>
      <w:tr w14:paraId="2B38E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1135" w:type="dxa"/>
            <w:vMerge w:val="continue"/>
            <w:noWrap/>
            <w:vAlign w:val="center"/>
          </w:tcPr>
          <w:p w14:paraId="1EEE31E9">
            <w:pPr>
              <w:spacing w:line="312" w:lineRule="auto"/>
              <w:jc w:val="center"/>
              <w:rPr>
                <w:rFonts w:ascii="Times New Roman" w:hAnsi="Times New Roman" w:eastAsia="宋体"/>
                <w:color w:val="auto"/>
              </w:rPr>
            </w:pPr>
          </w:p>
        </w:tc>
        <w:tc>
          <w:tcPr>
            <w:tcW w:w="1134" w:type="dxa"/>
            <w:vMerge w:val="continue"/>
            <w:noWrap/>
            <w:vAlign w:val="center"/>
          </w:tcPr>
          <w:p w14:paraId="793C01BD">
            <w:pPr>
              <w:jc w:val="center"/>
              <w:rPr>
                <w:rFonts w:ascii="Times New Roman" w:hAnsi="Calibri" w:eastAsia="宋体"/>
                <w:color w:val="auto"/>
                <w:kern w:val="0"/>
              </w:rPr>
            </w:pPr>
          </w:p>
        </w:tc>
        <w:tc>
          <w:tcPr>
            <w:tcW w:w="7236" w:type="dxa"/>
            <w:shd w:val="clear" w:color="auto" w:fill="FFFFFF"/>
            <w:noWrap/>
            <w:vAlign w:val="center"/>
          </w:tcPr>
          <w:p w14:paraId="46E2B551">
            <w:pPr>
              <w:pStyle w:val="22"/>
              <w:adjustRightInd w:val="0"/>
              <w:snapToGrid w:val="0"/>
              <w:rPr>
                <w:b/>
                <w:bCs/>
                <w:color w:val="auto"/>
                <w:szCs w:val="21"/>
              </w:rPr>
            </w:pPr>
            <w:r>
              <w:rPr>
                <w:rFonts w:hint="eastAsia"/>
                <w:color w:val="auto"/>
                <w:szCs w:val="21"/>
              </w:rPr>
              <w:t>投标人的维护机构情况，具有较强的服务能力，能够2个小时（含）内到达现场进行维修的，得</w:t>
            </w:r>
            <w:r>
              <w:rPr>
                <w:color w:val="auto"/>
                <w:szCs w:val="21"/>
              </w:rPr>
              <w:t>2</w:t>
            </w:r>
            <w:r>
              <w:rPr>
                <w:rFonts w:hint="eastAsia"/>
                <w:color w:val="auto"/>
                <w:szCs w:val="21"/>
              </w:rPr>
              <w:t>分；其它不得分。</w:t>
            </w:r>
            <w:r>
              <w:rPr>
                <w:rFonts w:hint="eastAsia"/>
                <w:b/>
                <w:bCs/>
                <w:color w:val="auto"/>
                <w:szCs w:val="21"/>
              </w:rPr>
              <w:t>（须承诺或提供相关证明文件，无承诺或未提供相关证明文件都不得分，若先承诺，中标后7个工作日内提供相关证明文件，无法提供作无效标处理，并承担相关责任。）</w:t>
            </w:r>
          </w:p>
        </w:tc>
        <w:tc>
          <w:tcPr>
            <w:tcW w:w="757" w:type="dxa"/>
            <w:noWrap/>
            <w:vAlign w:val="center"/>
          </w:tcPr>
          <w:p w14:paraId="65CEE0B2">
            <w:pPr>
              <w:ind w:firstLine="210" w:firstLineChars="100"/>
              <w:rPr>
                <w:rFonts w:hint="eastAsia" w:ascii="Times New Roman" w:hAnsi="Times New Roman" w:eastAsia="宋体"/>
                <w:color w:val="auto"/>
                <w:lang w:val="en-US" w:eastAsia="zh-CN"/>
              </w:rPr>
            </w:pPr>
            <w:r>
              <w:rPr>
                <w:rFonts w:hint="eastAsia" w:ascii="Times New Roman" w:hAnsi="Times New Roman" w:eastAsia="宋体"/>
                <w:color w:val="auto"/>
                <w:lang w:val="en-US" w:eastAsia="zh-CN"/>
              </w:rPr>
              <w:t>客</w:t>
            </w:r>
          </w:p>
        </w:tc>
      </w:tr>
      <w:tr w14:paraId="144FA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135" w:type="dxa"/>
            <w:vMerge w:val="continue"/>
            <w:noWrap/>
            <w:vAlign w:val="center"/>
          </w:tcPr>
          <w:p w14:paraId="0A2147B6">
            <w:pPr>
              <w:spacing w:line="312" w:lineRule="auto"/>
              <w:jc w:val="center"/>
              <w:rPr>
                <w:rFonts w:ascii="Times New Roman" w:hAnsi="Times New Roman" w:eastAsia="宋体"/>
                <w:color w:val="auto"/>
              </w:rPr>
            </w:pPr>
          </w:p>
        </w:tc>
        <w:tc>
          <w:tcPr>
            <w:tcW w:w="1134" w:type="dxa"/>
            <w:noWrap/>
            <w:vAlign w:val="center"/>
          </w:tcPr>
          <w:p w14:paraId="05B8CC82">
            <w:pPr>
              <w:adjustRightInd w:val="0"/>
              <w:snapToGrid w:val="0"/>
              <w:jc w:val="center"/>
              <w:rPr>
                <w:rFonts w:ascii="Times New Roman" w:hAnsi="Times New Roman" w:eastAsia="宋体"/>
                <w:b w:val="0"/>
                <w:bCs w:val="0"/>
                <w:color w:val="auto"/>
                <w:szCs w:val="21"/>
              </w:rPr>
            </w:pPr>
            <w:r>
              <w:rPr>
                <w:rFonts w:hint="eastAsia" w:ascii="Times New Roman" w:hAnsi="Times New Roman" w:eastAsia="宋体"/>
                <w:b w:val="0"/>
                <w:bCs w:val="0"/>
                <w:color w:val="auto"/>
                <w:szCs w:val="21"/>
              </w:rPr>
              <w:t>质量保证措施和交货情况</w:t>
            </w:r>
          </w:p>
          <w:p w14:paraId="6CBFEE05">
            <w:pPr>
              <w:adjustRightInd w:val="0"/>
              <w:snapToGrid w:val="0"/>
              <w:jc w:val="center"/>
              <w:rPr>
                <w:rFonts w:ascii="Times New Roman" w:hAnsi="Times New Roman" w:eastAsia="宋体"/>
                <w:b w:val="0"/>
                <w:bCs w:val="0"/>
                <w:color w:val="auto"/>
                <w:szCs w:val="21"/>
              </w:rPr>
            </w:pPr>
            <w:r>
              <w:rPr>
                <w:rFonts w:hint="eastAsia" w:ascii="Times New Roman" w:hAnsi="Times New Roman" w:eastAsia="宋体"/>
                <w:b w:val="0"/>
                <w:bCs w:val="0"/>
                <w:color w:val="auto"/>
                <w:szCs w:val="21"/>
              </w:rPr>
              <w:t>（</w:t>
            </w:r>
            <w:r>
              <w:rPr>
                <w:rFonts w:hint="eastAsia" w:ascii="Times New Roman" w:hAnsi="Times New Roman" w:eastAsia="宋体"/>
                <w:b w:val="0"/>
                <w:bCs w:val="0"/>
                <w:color w:val="auto"/>
                <w:szCs w:val="21"/>
                <w:lang w:val="en-US" w:eastAsia="zh-CN"/>
              </w:rPr>
              <w:t>3</w:t>
            </w:r>
            <w:r>
              <w:rPr>
                <w:rFonts w:hint="eastAsia" w:ascii="Times New Roman" w:hAnsi="Times New Roman" w:eastAsia="宋体"/>
                <w:b w:val="0"/>
                <w:bCs w:val="0"/>
                <w:color w:val="auto"/>
                <w:szCs w:val="21"/>
              </w:rPr>
              <w:t>分）</w:t>
            </w:r>
          </w:p>
        </w:tc>
        <w:tc>
          <w:tcPr>
            <w:tcW w:w="7236" w:type="dxa"/>
            <w:noWrap/>
            <w:vAlign w:val="center"/>
          </w:tcPr>
          <w:p w14:paraId="4C0DBFD6">
            <w:pPr>
              <w:adjustRightInd w:val="0"/>
              <w:snapToGrid w:val="0"/>
              <w:rPr>
                <w:rFonts w:ascii="Times New Roman" w:hAnsi="Times New Roman" w:eastAsia="宋体"/>
                <w:b w:val="0"/>
                <w:bCs w:val="0"/>
                <w:color w:val="auto"/>
                <w:szCs w:val="21"/>
              </w:rPr>
            </w:pPr>
            <w:r>
              <w:rPr>
                <w:rFonts w:hint="eastAsia" w:ascii="Times New Roman" w:hAnsi="Times New Roman" w:eastAsia="宋体"/>
                <w:b w:val="0"/>
                <w:bCs w:val="0"/>
                <w:color w:val="auto"/>
                <w:szCs w:val="21"/>
              </w:rPr>
              <w:t>有明确的建设质量目标，按期完成设备供货、运行等措施：</w:t>
            </w:r>
          </w:p>
          <w:p w14:paraId="22E1C6D8">
            <w:pPr>
              <w:adjustRightInd w:val="0"/>
              <w:snapToGrid w:val="0"/>
              <w:rPr>
                <w:rFonts w:ascii="Times New Roman" w:hAnsi="Times New Roman" w:eastAsia="宋体"/>
                <w:b w:val="0"/>
                <w:bCs w:val="0"/>
                <w:color w:val="auto"/>
                <w:szCs w:val="21"/>
              </w:rPr>
            </w:pPr>
            <w:r>
              <w:rPr>
                <w:rFonts w:hint="eastAsia" w:ascii="Times New Roman" w:hAnsi="Times New Roman" w:eastAsia="宋体"/>
                <w:b w:val="0"/>
                <w:bCs w:val="0"/>
                <w:color w:val="auto"/>
                <w:szCs w:val="21"/>
              </w:rPr>
              <w:t>实施内容完整全面的，得</w:t>
            </w:r>
            <w:r>
              <w:rPr>
                <w:rFonts w:hint="eastAsia" w:ascii="Times New Roman" w:hAnsi="Times New Roman" w:eastAsia="宋体"/>
                <w:b w:val="0"/>
                <w:bCs w:val="0"/>
                <w:color w:val="auto"/>
                <w:szCs w:val="21"/>
                <w:lang w:val="en-US" w:eastAsia="zh-CN"/>
              </w:rPr>
              <w:t>3</w:t>
            </w:r>
            <w:r>
              <w:rPr>
                <w:rFonts w:hint="eastAsia" w:ascii="Times New Roman" w:hAnsi="Times New Roman" w:eastAsia="宋体"/>
                <w:b w:val="0"/>
                <w:bCs w:val="0"/>
                <w:color w:val="auto"/>
                <w:szCs w:val="21"/>
              </w:rPr>
              <w:t>分；</w:t>
            </w:r>
          </w:p>
          <w:p w14:paraId="3A22C15D">
            <w:pPr>
              <w:adjustRightInd w:val="0"/>
              <w:snapToGrid w:val="0"/>
              <w:rPr>
                <w:rFonts w:ascii="Times New Roman" w:hAnsi="Times New Roman" w:eastAsia="宋体"/>
                <w:b w:val="0"/>
                <w:bCs w:val="0"/>
                <w:color w:val="auto"/>
                <w:szCs w:val="21"/>
              </w:rPr>
            </w:pPr>
            <w:r>
              <w:rPr>
                <w:rFonts w:hint="eastAsia" w:ascii="Times New Roman" w:hAnsi="Times New Roman" w:eastAsia="宋体"/>
                <w:b w:val="0"/>
                <w:bCs w:val="0"/>
                <w:color w:val="auto"/>
                <w:szCs w:val="21"/>
              </w:rPr>
              <w:t>实施内容较完整的，得</w:t>
            </w:r>
            <w:r>
              <w:rPr>
                <w:rFonts w:hint="eastAsia" w:ascii="Times New Roman" w:hAnsi="Times New Roman" w:eastAsia="宋体"/>
                <w:b w:val="0"/>
                <w:bCs w:val="0"/>
                <w:color w:val="auto"/>
                <w:szCs w:val="21"/>
                <w:lang w:val="en-US" w:eastAsia="zh-CN"/>
              </w:rPr>
              <w:t>2</w:t>
            </w:r>
            <w:r>
              <w:rPr>
                <w:rFonts w:hint="eastAsia" w:ascii="Times New Roman" w:hAnsi="Times New Roman" w:eastAsia="宋体"/>
                <w:b w:val="0"/>
                <w:bCs w:val="0"/>
                <w:color w:val="auto"/>
                <w:szCs w:val="21"/>
              </w:rPr>
              <w:t>分；</w:t>
            </w:r>
          </w:p>
          <w:p w14:paraId="44FB8833">
            <w:pPr>
              <w:adjustRightInd w:val="0"/>
              <w:snapToGrid w:val="0"/>
              <w:rPr>
                <w:rFonts w:ascii="Times New Roman" w:hAnsi="Times New Roman" w:eastAsia="宋体"/>
                <w:b w:val="0"/>
                <w:bCs w:val="0"/>
                <w:color w:val="auto"/>
                <w:szCs w:val="21"/>
              </w:rPr>
            </w:pPr>
            <w:r>
              <w:rPr>
                <w:rFonts w:hint="eastAsia" w:ascii="Times New Roman" w:hAnsi="Times New Roman" w:eastAsia="宋体"/>
                <w:b w:val="0"/>
                <w:bCs w:val="0"/>
                <w:color w:val="auto"/>
                <w:szCs w:val="21"/>
              </w:rPr>
              <w:t>实施内容不够完整的，得</w:t>
            </w:r>
            <w:r>
              <w:rPr>
                <w:rFonts w:hint="eastAsia" w:ascii="Times New Roman" w:hAnsi="Times New Roman" w:eastAsia="宋体"/>
                <w:b w:val="0"/>
                <w:bCs w:val="0"/>
                <w:color w:val="auto"/>
                <w:szCs w:val="21"/>
                <w:lang w:val="en-US" w:eastAsia="zh-CN"/>
              </w:rPr>
              <w:t>1</w:t>
            </w:r>
            <w:r>
              <w:rPr>
                <w:rFonts w:hint="eastAsia" w:ascii="Times New Roman" w:hAnsi="Times New Roman" w:eastAsia="宋体"/>
                <w:b w:val="0"/>
                <w:bCs w:val="0"/>
                <w:color w:val="auto"/>
                <w:szCs w:val="21"/>
              </w:rPr>
              <w:t>分；</w:t>
            </w:r>
          </w:p>
          <w:p w14:paraId="7C484FA5">
            <w:pPr>
              <w:adjustRightInd w:val="0"/>
              <w:snapToGrid w:val="0"/>
              <w:rPr>
                <w:rFonts w:ascii="Times New Roman" w:hAnsi="Times New Roman" w:eastAsia="宋体"/>
                <w:b w:val="0"/>
                <w:bCs w:val="0"/>
                <w:color w:val="auto"/>
                <w:szCs w:val="21"/>
              </w:rPr>
            </w:pPr>
            <w:r>
              <w:rPr>
                <w:rFonts w:hint="eastAsia" w:ascii="Times New Roman" w:hAnsi="Times New Roman" w:eastAsia="宋体"/>
                <w:b w:val="0"/>
                <w:bCs w:val="0"/>
                <w:color w:val="auto"/>
                <w:szCs w:val="21"/>
              </w:rPr>
              <w:t>未响应或未提及不得分。</w:t>
            </w:r>
          </w:p>
        </w:tc>
        <w:tc>
          <w:tcPr>
            <w:tcW w:w="757" w:type="dxa"/>
            <w:noWrap/>
            <w:vAlign w:val="center"/>
          </w:tcPr>
          <w:p w14:paraId="1147A489">
            <w:pPr>
              <w:ind w:firstLine="210" w:firstLineChars="100"/>
              <w:rPr>
                <w:rFonts w:ascii="Times New Roman" w:hAnsi="Times New Roman" w:eastAsia="宋体"/>
                <w:color w:val="auto"/>
              </w:rPr>
            </w:pPr>
          </w:p>
        </w:tc>
      </w:tr>
      <w:tr w14:paraId="62DF1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135" w:type="dxa"/>
            <w:vMerge w:val="continue"/>
            <w:noWrap/>
            <w:vAlign w:val="center"/>
          </w:tcPr>
          <w:p w14:paraId="4BF2D375">
            <w:pPr>
              <w:spacing w:line="312" w:lineRule="auto"/>
              <w:jc w:val="center"/>
              <w:rPr>
                <w:rFonts w:ascii="Times New Roman" w:hAnsi="Times New Roman" w:eastAsia="宋体"/>
                <w:color w:val="auto"/>
              </w:rPr>
            </w:pPr>
          </w:p>
        </w:tc>
        <w:tc>
          <w:tcPr>
            <w:tcW w:w="1134" w:type="dxa"/>
            <w:noWrap/>
            <w:vAlign w:val="center"/>
          </w:tcPr>
          <w:p w14:paraId="52633501">
            <w:pPr>
              <w:jc w:val="center"/>
              <w:rPr>
                <w:rFonts w:ascii="Times New Roman" w:hAnsi="Times New Roman" w:eastAsia="宋体"/>
                <w:color w:val="auto"/>
              </w:rPr>
            </w:pPr>
            <w:r>
              <w:rPr>
                <w:rFonts w:hint="eastAsia" w:ascii="Times New Roman" w:hAnsi="Times New Roman" w:eastAsia="宋体"/>
                <w:color w:val="auto"/>
              </w:rPr>
              <w:t>培训方案（</w:t>
            </w:r>
            <w:r>
              <w:rPr>
                <w:rFonts w:hint="eastAsia" w:ascii="Times New Roman" w:hAnsi="Times New Roman" w:eastAsia="宋体"/>
                <w:color w:val="auto"/>
                <w:lang w:val="en-US" w:eastAsia="zh-CN"/>
              </w:rPr>
              <w:t>4</w:t>
            </w:r>
            <w:r>
              <w:rPr>
                <w:rFonts w:hint="eastAsia" w:ascii="Times New Roman" w:hAnsi="Times New Roman" w:eastAsia="宋体"/>
                <w:color w:val="auto"/>
              </w:rPr>
              <w:t>分）</w:t>
            </w:r>
          </w:p>
        </w:tc>
        <w:tc>
          <w:tcPr>
            <w:tcW w:w="7236" w:type="dxa"/>
            <w:noWrap/>
            <w:vAlign w:val="center"/>
          </w:tcPr>
          <w:p w14:paraId="0E9AE0B7">
            <w:pPr>
              <w:rPr>
                <w:rFonts w:hint="eastAsia" w:ascii="宋体" w:hAnsi="宋体" w:eastAsia="宋体"/>
                <w:color w:val="auto"/>
                <w:szCs w:val="21"/>
                <w:lang w:eastAsia="zh-CN"/>
              </w:rPr>
            </w:pPr>
            <w:r>
              <w:rPr>
                <w:rFonts w:hint="eastAsia" w:ascii="宋体" w:hAnsi="宋体" w:eastAsia="宋体"/>
                <w:color w:val="auto"/>
                <w:szCs w:val="21"/>
              </w:rPr>
              <w:t>投标人提出的培训计划完整合理</w:t>
            </w:r>
            <w:r>
              <w:rPr>
                <w:rFonts w:hint="eastAsia" w:ascii="宋体" w:hAnsi="宋体" w:eastAsia="宋体"/>
                <w:color w:val="auto"/>
                <w:szCs w:val="21"/>
                <w:lang w:eastAsia="zh-CN"/>
              </w:rPr>
              <w:t>：</w:t>
            </w:r>
          </w:p>
          <w:p w14:paraId="334EBD40">
            <w:pPr>
              <w:rPr>
                <w:rFonts w:hint="eastAsia" w:ascii="宋体" w:hAnsi="宋体" w:eastAsia="宋体"/>
                <w:color w:val="auto"/>
                <w:szCs w:val="21"/>
              </w:rPr>
            </w:pPr>
            <w:r>
              <w:rPr>
                <w:rFonts w:hint="eastAsia" w:ascii="宋体" w:hAnsi="宋体" w:eastAsia="宋体"/>
                <w:color w:val="auto"/>
                <w:szCs w:val="21"/>
              </w:rPr>
              <w:t>方案完整合理的，得</w:t>
            </w:r>
            <w:r>
              <w:rPr>
                <w:rFonts w:hint="eastAsia" w:ascii="宋体" w:hAnsi="宋体" w:eastAsia="宋体"/>
                <w:color w:val="auto"/>
                <w:szCs w:val="21"/>
                <w:lang w:val="en-US" w:eastAsia="zh-CN"/>
              </w:rPr>
              <w:t>4</w:t>
            </w:r>
            <w:r>
              <w:rPr>
                <w:rFonts w:hint="eastAsia" w:ascii="宋体" w:hAnsi="宋体" w:eastAsia="宋体"/>
                <w:color w:val="auto"/>
                <w:szCs w:val="21"/>
              </w:rPr>
              <w:t>分；</w:t>
            </w:r>
          </w:p>
          <w:p w14:paraId="27520263">
            <w:pPr>
              <w:rPr>
                <w:rFonts w:hint="default" w:ascii="Times New Roman" w:hAnsi="Times New Roman" w:eastAsia="宋体"/>
                <w:color w:val="auto"/>
                <w:szCs w:val="21"/>
                <w:lang w:val="en-US" w:eastAsia="zh-CN"/>
              </w:rPr>
            </w:pPr>
            <w:r>
              <w:rPr>
                <w:rFonts w:hint="eastAsia" w:ascii="宋体" w:hAnsi="宋体" w:eastAsia="宋体"/>
                <w:color w:val="auto"/>
                <w:szCs w:val="21"/>
              </w:rPr>
              <w:t>方案基本合理的，得</w:t>
            </w:r>
            <w:r>
              <w:rPr>
                <w:rFonts w:hint="eastAsia" w:ascii="宋体" w:hAnsi="宋体" w:eastAsia="宋体"/>
                <w:color w:val="auto"/>
                <w:szCs w:val="21"/>
                <w:lang w:val="en-US" w:eastAsia="zh-CN"/>
              </w:rPr>
              <w:t>2</w:t>
            </w:r>
            <w:r>
              <w:rPr>
                <w:rFonts w:hint="eastAsia" w:ascii="宋体" w:hAnsi="宋体" w:eastAsia="宋体"/>
                <w:color w:val="auto"/>
                <w:szCs w:val="21"/>
              </w:rPr>
              <w:t>分；</w:t>
            </w:r>
          </w:p>
          <w:p w14:paraId="791B2382">
            <w:pPr>
              <w:rPr>
                <w:rFonts w:hint="eastAsia" w:ascii="宋体" w:hAnsi="宋体" w:eastAsia="宋体"/>
                <w:color w:val="auto"/>
                <w:szCs w:val="21"/>
              </w:rPr>
            </w:pPr>
            <w:r>
              <w:rPr>
                <w:rFonts w:hint="eastAsia" w:ascii="Times New Roman" w:hAnsi="Times New Roman" w:eastAsia="宋体"/>
                <w:color w:val="auto"/>
                <w:szCs w:val="21"/>
              </w:rPr>
              <w:t>未响应或未提及不得分。</w:t>
            </w:r>
          </w:p>
        </w:tc>
        <w:tc>
          <w:tcPr>
            <w:tcW w:w="757" w:type="dxa"/>
            <w:noWrap/>
            <w:vAlign w:val="center"/>
          </w:tcPr>
          <w:p w14:paraId="422D6A2F">
            <w:pPr>
              <w:ind w:firstLine="210" w:firstLineChars="100"/>
              <w:rPr>
                <w:rFonts w:ascii="Times New Roman" w:hAnsi="Times New Roman" w:eastAsia="宋体"/>
                <w:color w:val="auto"/>
              </w:rPr>
            </w:pPr>
          </w:p>
        </w:tc>
      </w:tr>
      <w:tr w14:paraId="53AF1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135" w:type="dxa"/>
            <w:noWrap/>
            <w:vAlign w:val="center"/>
          </w:tcPr>
          <w:p w14:paraId="4850A187">
            <w:pPr>
              <w:widowControl/>
              <w:spacing w:line="312" w:lineRule="auto"/>
              <w:ind w:right="-341"/>
              <w:rPr>
                <w:rFonts w:ascii="Times New Roman" w:hAnsi="Times New Roman" w:eastAsia="宋体"/>
                <w:color w:val="auto"/>
              </w:rPr>
            </w:pPr>
            <w:r>
              <w:rPr>
                <w:rFonts w:hint="eastAsia" w:ascii="Times New Roman" w:hAnsi="Times New Roman" w:eastAsia="宋体"/>
                <w:color w:val="auto"/>
              </w:rPr>
              <w:t>价格得分</w:t>
            </w:r>
          </w:p>
          <w:p w14:paraId="1F28881F">
            <w:pPr>
              <w:widowControl/>
              <w:spacing w:line="312" w:lineRule="auto"/>
              <w:ind w:right="-341"/>
              <w:rPr>
                <w:rFonts w:ascii="Times New Roman" w:hAnsi="Times New Roman" w:eastAsia="宋体"/>
                <w:color w:val="auto"/>
              </w:rPr>
            </w:pPr>
            <w:r>
              <w:rPr>
                <w:rFonts w:hint="eastAsia" w:ascii="Times New Roman" w:hAnsi="Times New Roman" w:eastAsia="宋体"/>
                <w:color w:val="auto"/>
              </w:rPr>
              <w:t>（</w:t>
            </w:r>
            <w:r>
              <w:rPr>
                <w:rFonts w:ascii="Times New Roman" w:hAnsi="Times New Roman" w:eastAsia="宋体"/>
                <w:color w:val="auto"/>
              </w:rPr>
              <w:t>3</w:t>
            </w:r>
            <w:r>
              <w:rPr>
                <w:rFonts w:hint="eastAsia" w:ascii="Times New Roman" w:hAnsi="Times New Roman" w:eastAsia="宋体"/>
                <w:color w:val="auto"/>
                <w:lang w:val="en-US" w:eastAsia="zh-CN"/>
              </w:rPr>
              <w:t>5</w:t>
            </w:r>
            <w:r>
              <w:rPr>
                <w:rFonts w:hint="eastAsia" w:ascii="Times New Roman" w:hAnsi="Times New Roman" w:eastAsia="宋体"/>
                <w:color w:val="auto"/>
              </w:rPr>
              <w:t>分）</w:t>
            </w:r>
          </w:p>
        </w:tc>
        <w:tc>
          <w:tcPr>
            <w:tcW w:w="8370" w:type="dxa"/>
            <w:gridSpan w:val="2"/>
            <w:noWrap/>
            <w:vAlign w:val="center"/>
          </w:tcPr>
          <w:p w14:paraId="20DFF32B">
            <w:pPr>
              <w:spacing w:line="312" w:lineRule="auto"/>
              <w:ind w:right="-341"/>
              <w:rPr>
                <w:rFonts w:ascii="Times New Roman" w:hAnsi="Times New Roman" w:eastAsia="宋体"/>
                <w:color w:val="auto"/>
              </w:rPr>
            </w:pPr>
            <w:r>
              <w:rPr>
                <w:rFonts w:hint="eastAsia" w:ascii="Times New Roman" w:hAnsi="Times New Roman" w:eastAsia="宋体"/>
                <w:color w:val="auto"/>
              </w:rPr>
              <w:t>满足投标文件要求且投标报价最低的为评标基准价，其价格分为满分，其他投标人的价格分按下列公式计算：价格得分＝（评标基准价</w:t>
            </w:r>
            <w:r>
              <w:rPr>
                <w:rFonts w:ascii="Times New Roman" w:hAnsi="Times New Roman" w:eastAsia="宋体"/>
                <w:color w:val="auto"/>
              </w:rPr>
              <w:t>/</w:t>
            </w:r>
            <w:r>
              <w:rPr>
                <w:rFonts w:hint="eastAsia" w:ascii="Times New Roman" w:hAnsi="Times New Roman" w:eastAsia="宋体"/>
                <w:color w:val="auto"/>
              </w:rPr>
              <w:t>投标报价）</w:t>
            </w:r>
            <w:r>
              <w:rPr>
                <w:rFonts w:ascii="Times New Roman" w:hAnsi="Times New Roman" w:eastAsia="宋体"/>
                <w:color w:val="auto"/>
              </w:rPr>
              <w:t>×</w:t>
            </w:r>
            <w:r>
              <w:rPr>
                <w:rFonts w:hint="eastAsia" w:ascii="Times New Roman" w:hAnsi="Times New Roman" w:eastAsia="宋体"/>
                <w:color w:val="auto"/>
              </w:rPr>
              <w:t>价格权重</w:t>
            </w:r>
            <w:r>
              <w:rPr>
                <w:rFonts w:ascii="Times New Roman" w:hAnsi="Times New Roman" w:eastAsia="宋体"/>
                <w:color w:val="auto"/>
              </w:rPr>
              <w:t>×100</w:t>
            </w:r>
            <w:r>
              <w:rPr>
                <w:rFonts w:hint="eastAsia" w:ascii="Times New Roman" w:hAnsi="Times New Roman" w:eastAsia="宋体"/>
                <w:color w:val="auto"/>
              </w:rPr>
              <w:t>。</w:t>
            </w:r>
          </w:p>
        </w:tc>
        <w:tc>
          <w:tcPr>
            <w:tcW w:w="757" w:type="dxa"/>
            <w:noWrap/>
          </w:tcPr>
          <w:p w14:paraId="78D2F1CD">
            <w:pPr>
              <w:ind w:firstLine="210" w:firstLineChars="100"/>
              <w:rPr>
                <w:rFonts w:ascii="Times New Roman" w:hAnsi="Times New Roman" w:eastAsia="宋体"/>
                <w:color w:val="auto"/>
              </w:rPr>
            </w:pPr>
          </w:p>
        </w:tc>
      </w:tr>
    </w:tbl>
    <w:p w14:paraId="606F400B">
      <w:pPr>
        <w:spacing w:line="440" w:lineRule="exact"/>
        <w:rPr>
          <w:rFonts w:ascii="Times New Roman" w:hAnsi="Times New Roman" w:eastAsia="黑体" w:cs="Times New Roman"/>
          <w:color w:val="auto"/>
          <w:sz w:val="30"/>
        </w:rPr>
      </w:pPr>
    </w:p>
    <w:p w14:paraId="0FFB5735">
      <w:pPr>
        <w:spacing w:line="440" w:lineRule="exact"/>
        <w:rPr>
          <w:rFonts w:ascii="Times New Roman" w:hAnsi="Times New Roman" w:eastAsia="黑体" w:cs="Times New Roman"/>
          <w:color w:val="auto"/>
          <w:sz w:val="30"/>
        </w:rPr>
      </w:pPr>
    </w:p>
    <w:p w14:paraId="296464BA">
      <w:pPr>
        <w:spacing w:line="440" w:lineRule="exact"/>
        <w:rPr>
          <w:rFonts w:ascii="Times New Roman" w:hAnsi="Times New Roman" w:eastAsia="黑体" w:cs="Times New Roman"/>
          <w:color w:val="auto"/>
          <w:sz w:val="30"/>
        </w:rPr>
      </w:pPr>
    </w:p>
    <w:p w14:paraId="7108E75D">
      <w:pPr>
        <w:spacing w:line="440" w:lineRule="exact"/>
        <w:rPr>
          <w:rFonts w:ascii="Times New Roman" w:hAnsi="Times New Roman" w:eastAsia="黑体" w:cs="Times New Roman"/>
          <w:color w:val="auto"/>
          <w:sz w:val="30"/>
        </w:rPr>
      </w:pPr>
    </w:p>
    <w:p w14:paraId="6D2D3792">
      <w:pPr>
        <w:spacing w:line="440" w:lineRule="exact"/>
        <w:jc w:val="center"/>
        <w:rPr>
          <w:rFonts w:ascii="Times New Roman" w:hAnsi="Times New Roman" w:eastAsia="黑体" w:cs="Times New Roman"/>
          <w:color w:val="auto"/>
          <w:sz w:val="30"/>
        </w:rPr>
      </w:pPr>
    </w:p>
    <w:p w14:paraId="22C6D982">
      <w:pPr>
        <w:spacing w:line="440" w:lineRule="exact"/>
        <w:jc w:val="center"/>
        <w:rPr>
          <w:rFonts w:ascii="Times New Roman" w:hAnsi="Times New Roman" w:eastAsia="黑体" w:cs="Times New Roman"/>
          <w:color w:val="auto"/>
          <w:sz w:val="30"/>
        </w:rPr>
      </w:pPr>
    </w:p>
    <w:p w14:paraId="7844E6DC">
      <w:pPr>
        <w:spacing w:line="440" w:lineRule="exact"/>
        <w:jc w:val="center"/>
        <w:rPr>
          <w:rFonts w:ascii="Times New Roman" w:hAnsi="Times New Roman" w:eastAsia="黑体" w:cs="Times New Roman"/>
          <w:color w:val="auto"/>
          <w:sz w:val="30"/>
        </w:rPr>
      </w:pPr>
    </w:p>
    <w:p w14:paraId="19B05664">
      <w:pPr>
        <w:spacing w:line="440" w:lineRule="exact"/>
        <w:jc w:val="center"/>
        <w:rPr>
          <w:rFonts w:ascii="Times New Roman" w:hAnsi="Times New Roman" w:eastAsia="黑体" w:cs="Times New Roman"/>
          <w:color w:val="auto"/>
          <w:sz w:val="30"/>
        </w:rPr>
      </w:pPr>
    </w:p>
    <w:p w14:paraId="6D7CC923">
      <w:pPr>
        <w:spacing w:line="440" w:lineRule="exact"/>
        <w:jc w:val="center"/>
        <w:rPr>
          <w:rFonts w:ascii="Times New Roman" w:hAnsi="Times New Roman" w:eastAsia="黑体" w:cs="Times New Roman"/>
          <w:color w:val="auto"/>
          <w:sz w:val="30"/>
        </w:rPr>
      </w:pPr>
    </w:p>
    <w:p w14:paraId="1480E863">
      <w:pPr>
        <w:spacing w:line="440" w:lineRule="exact"/>
        <w:jc w:val="center"/>
        <w:rPr>
          <w:rFonts w:ascii="Times New Roman" w:hAnsi="Times New Roman" w:eastAsia="黑体" w:cs="Times New Roman"/>
          <w:color w:val="auto"/>
          <w:sz w:val="30"/>
        </w:rPr>
      </w:pPr>
    </w:p>
    <w:p w14:paraId="63E3516A">
      <w:pPr>
        <w:pStyle w:val="18"/>
        <w:rPr>
          <w:rFonts w:ascii="Times New Roman" w:hAnsi="Times New Roman" w:eastAsia="黑体" w:cs="Times New Roman"/>
          <w:color w:val="auto"/>
          <w:sz w:val="30"/>
        </w:rPr>
      </w:pPr>
    </w:p>
    <w:p w14:paraId="74739208">
      <w:pPr>
        <w:pStyle w:val="18"/>
        <w:rPr>
          <w:rFonts w:ascii="Times New Roman" w:hAnsi="Times New Roman" w:eastAsia="黑体" w:cs="Times New Roman"/>
          <w:color w:val="auto"/>
          <w:sz w:val="30"/>
        </w:rPr>
      </w:pPr>
    </w:p>
    <w:p w14:paraId="571011B9">
      <w:pPr>
        <w:pStyle w:val="18"/>
        <w:rPr>
          <w:rFonts w:ascii="Times New Roman" w:hAnsi="Times New Roman" w:eastAsia="黑体" w:cs="Times New Roman"/>
          <w:color w:val="auto"/>
          <w:sz w:val="30"/>
        </w:rPr>
      </w:pPr>
    </w:p>
    <w:p w14:paraId="1B1BC7CB">
      <w:pPr>
        <w:pStyle w:val="18"/>
        <w:rPr>
          <w:rFonts w:ascii="Times New Roman" w:hAnsi="Times New Roman" w:eastAsia="黑体" w:cs="Times New Roman"/>
          <w:color w:val="auto"/>
          <w:sz w:val="30"/>
        </w:rPr>
      </w:pPr>
    </w:p>
    <w:p w14:paraId="3EDBDCD4">
      <w:pPr>
        <w:pStyle w:val="18"/>
        <w:rPr>
          <w:rFonts w:ascii="Times New Roman" w:hAnsi="Times New Roman" w:eastAsia="黑体" w:cs="Times New Roman"/>
          <w:color w:val="auto"/>
          <w:sz w:val="30"/>
        </w:rPr>
      </w:pPr>
    </w:p>
    <w:p w14:paraId="2B1D479B">
      <w:pPr>
        <w:pStyle w:val="18"/>
        <w:rPr>
          <w:rFonts w:ascii="Times New Roman" w:hAnsi="Times New Roman" w:eastAsia="黑体" w:cs="Times New Roman"/>
          <w:color w:val="auto"/>
          <w:sz w:val="30"/>
        </w:rPr>
      </w:pPr>
    </w:p>
    <w:p w14:paraId="706322F1">
      <w:pPr>
        <w:pStyle w:val="18"/>
        <w:rPr>
          <w:rFonts w:ascii="Times New Roman" w:hAnsi="Times New Roman" w:eastAsia="黑体" w:cs="Times New Roman"/>
          <w:color w:val="auto"/>
          <w:sz w:val="30"/>
        </w:rPr>
      </w:pPr>
    </w:p>
    <w:p w14:paraId="5F17F1E3">
      <w:pPr>
        <w:pStyle w:val="18"/>
        <w:rPr>
          <w:rFonts w:ascii="Times New Roman" w:hAnsi="Times New Roman" w:eastAsia="黑体" w:cs="Times New Roman"/>
          <w:color w:val="auto"/>
          <w:sz w:val="30"/>
        </w:rPr>
      </w:pPr>
    </w:p>
    <w:p w14:paraId="07067E73">
      <w:pPr>
        <w:pStyle w:val="18"/>
        <w:rPr>
          <w:rFonts w:ascii="Times New Roman" w:hAnsi="Times New Roman" w:eastAsia="黑体" w:cs="Times New Roman"/>
          <w:color w:val="auto"/>
          <w:sz w:val="30"/>
        </w:rPr>
      </w:pPr>
    </w:p>
    <w:p w14:paraId="767224A2">
      <w:pPr>
        <w:spacing w:line="440" w:lineRule="exact"/>
        <w:jc w:val="center"/>
        <w:rPr>
          <w:rFonts w:hint="eastAsia" w:ascii="Times New Roman" w:hAnsi="Times New Roman" w:eastAsia="黑体" w:cs="Times New Roman"/>
          <w:color w:val="auto"/>
          <w:sz w:val="30"/>
        </w:rPr>
      </w:pPr>
    </w:p>
    <w:p w14:paraId="1C1E8CED">
      <w:pPr>
        <w:spacing w:line="440" w:lineRule="exact"/>
        <w:jc w:val="center"/>
        <w:rPr>
          <w:rFonts w:hint="eastAsia"/>
          <w:color w:val="auto"/>
        </w:rPr>
      </w:pPr>
      <w:r>
        <w:rPr>
          <w:rFonts w:hint="eastAsia" w:ascii="Times New Roman" w:hAnsi="Times New Roman" w:eastAsia="黑体" w:cs="Times New Roman"/>
          <w:color w:val="auto"/>
          <w:sz w:val="30"/>
        </w:rPr>
        <w:t>第五章合同主要条款</w:t>
      </w:r>
      <w:bookmarkEnd w:id="0"/>
    </w:p>
    <w:p w14:paraId="337C6F33">
      <w:pPr>
        <w:snapToGrid w:val="0"/>
        <w:jc w:val="center"/>
        <w:textAlignment w:val="baseline"/>
        <w:rPr>
          <w:rFonts w:hint="eastAsia"/>
          <w:b/>
          <w:color w:val="auto"/>
          <w:sz w:val="28"/>
        </w:rPr>
      </w:pPr>
      <w:r>
        <w:rPr>
          <w:rFonts w:hint="eastAsia"/>
          <w:b/>
          <w:color w:val="auto"/>
          <w:sz w:val="28"/>
        </w:rPr>
        <w:t>采购合同</w:t>
      </w:r>
      <w:r>
        <w:rPr>
          <w:b/>
          <w:color w:val="auto"/>
          <w:sz w:val="28"/>
        </w:rPr>
        <w:t>(</w:t>
      </w:r>
      <w:r>
        <w:rPr>
          <w:rFonts w:hint="eastAsia"/>
          <w:b/>
          <w:color w:val="auto"/>
          <w:sz w:val="28"/>
        </w:rPr>
        <w:t>仅供参考</w:t>
      </w:r>
      <w:r>
        <w:rPr>
          <w:b/>
          <w:color w:val="auto"/>
          <w:sz w:val="28"/>
        </w:rPr>
        <w:t>)</w:t>
      </w:r>
    </w:p>
    <w:p w14:paraId="02C1D889">
      <w:pPr>
        <w:spacing w:line="288" w:lineRule="auto"/>
        <w:rPr>
          <w:rFonts w:hint="eastAsia" w:ascii="宋体" w:hAnsi="宋体"/>
          <w:color w:val="auto"/>
        </w:rPr>
      </w:pPr>
    </w:p>
    <w:p w14:paraId="76CCC1D4">
      <w:pPr>
        <w:spacing w:line="288" w:lineRule="auto"/>
        <w:ind w:firstLine="1256" w:firstLineChars="596"/>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招标文件、中标人的投标文件及其澄清文件等，均为合同的组成部分。</w:t>
      </w:r>
    </w:p>
    <w:p w14:paraId="4E08ED70">
      <w:pPr>
        <w:spacing w:line="288" w:lineRule="auto"/>
        <w:ind w:firstLine="105" w:firstLineChars="50"/>
        <w:rPr>
          <w:rFonts w:hint="eastAsia" w:ascii="宋体" w:hAnsi="宋体" w:eastAsia="宋体" w:cs="Times New Roman"/>
          <w:color w:val="auto"/>
          <w:szCs w:val="21"/>
        </w:rPr>
      </w:pPr>
      <w:r>
        <w:rPr>
          <w:rFonts w:hint="eastAsia" w:ascii="宋体" w:hAnsi="宋体" w:eastAsia="宋体" w:cs="Times New Roman"/>
          <w:color w:val="auto"/>
          <w:szCs w:val="21"/>
        </w:rPr>
        <w:t>此合同由</w:t>
      </w:r>
      <w:r>
        <w:rPr>
          <w:rFonts w:hint="eastAsia" w:ascii="宋体" w:hAnsi="宋体" w:eastAsia="宋体" w:cs="Times New Roman"/>
          <w:b/>
          <w:color w:val="auto"/>
          <w:szCs w:val="21"/>
        </w:rPr>
        <w:t>舟山市生态环境局（</w:t>
      </w:r>
      <w:r>
        <w:rPr>
          <w:rFonts w:hint="eastAsia" w:ascii="宋体" w:hAnsi="宋体" w:eastAsia="宋体" w:cs="Times New Roman"/>
          <w:color w:val="auto"/>
          <w:szCs w:val="21"/>
        </w:rPr>
        <w:t>甲方）和中标人（乙方）签订。</w:t>
      </w:r>
    </w:p>
    <w:p w14:paraId="6BB98FD9">
      <w:pPr>
        <w:spacing w:line="288" w:lineRule="auto"/>
        <w:ind w:firstLine="211" w:firstLineChars="100"/>
        <w:rPr>
          <w:rFonts w:hint="eastAsia" w:ascii="宋体" w:hAnsi="宋体" w:eastAsia="宋体" w:cs="Times New Roman"/>
          <w:b/>
          <w:color w:val="auto"/>
          <w:szCs w:val="21"/>
        </w:rPr>
      </w:pPr>
    </w:p>
    <w:p w14:paraId="254B918B">
      <w:pPr>
        <w:spacing w:line="312" w:lineRule="auto"/>
        <w:rPr>
          <w:rFonts w:hint="eastAsia" w:ascii="宋体" w:hAnsi="宋体" w:eastAsia="宋体" w:cs="Times New Roman"/>
          <w:color w:val="auto"/>
          <w:szCs w:val="21"/>
        </w:rPr>
      </w:pPr>
      <w:r>
        <w:rPr>
          <w:rFonts w:ascii="宋体" w:hAnsi="宋体" w:eastAsia="宋体" w:cs="Times New Roman"/>
          <w:b/>
          <w:color w:val="auto"/>
          <w:szCs w:val="21"/>
        </w:rPr>
        <w:t>甲方：</w:t>
      </w:r>
    </w:p>
    <w:p w14:paraId="3965F239">
      <w:pPr>
        <w:spacing w:line="312" w:lineRule="auto"/>
        <w:rPr>
          <w:rFonts w:hint="eastAsia" w:ascii="宋体" w:hAnsi="宋体" w:eastAsia="宋体" w:cs="Times New Roman"/>
          <w:color w:val="auto"/>
          <w:szCs w:val="21"/>
        </w:rPr>
      </w:pPr>
      <w:r>
        <w:rPr>
          <w:rFonts w:ascii="宋体" w:hAnsi="宋体" w:eastAsia="宋体" w:cs="Times New Roman"/>
          <w:color w:val="auto"/>
          <w:szCs w:val="21"/>
        </w:rPr>
        <w:t>（名称、统一社会信用代码、住所、法定代表人、职务、委托代理人、身份证号码、通讯地址、邮政编码、联系人、电话、传真、账号、电子信箱）</w:t>
      </w:r>
    </w:p>
    <w:p w14:paraId="39E814F5">
      <w:pPr>
        <w:spacing w:line="312" w:lineRule="auto"/>
        <w:rPr>
          <w:rFonts w:hint="eastAsia" w:ascii="宋体" w:hAnsi="宋体" w:eastAsia="宋体" w:cs="Times New Roman"/>
          <w:color w:val="auto"/>
          <w:szCs w:val="21"/>
        </w:rPr>
      </w:pPr>
      <w:r>
        <w:rPr>
          <w:rFonts w:ascii="宋体" w:hAnsi="宋体" w:eastAsia="宋体" w:cs="Times New Roman"/>
          <w:b/>
          <w:color w:val="auto"/>
          <w:szCs w:val="21"/>
        </w:rPr>
        <w:t>乙方：</w:t>
      </w:r>
    </w:p>
    <w:p w14:paraId="45FF209D">
      <w:pPr>
        <w:spacing w:line="312" w:lineRule="auto"/>
        <w:rPr>
          <w:rFonts w:hint="eastAsia" w:ascii="宋体" w:hAnsi="宋体" w:eastAsia="宋体" w:cs="Times New Roman"/>
          <w:color w:val="auto"/>
          <w:szCs w:val="21"/>
        </w:rPr>
      </w:pPr>
      <w:r>
        <w:rPr>
          <w:rFonts w:ascii="宋体" w:hAnsi="宋体" w:eastAsia="宋体" w:cs="Times New Roman"/>
          <w:color w:val="auto"/>
          <w:szCs w:val="21"/>
        </w:rPr>
        <w:t>（名称、统一社会信用代码、住所、法定代表人、职务、委托代理人、身份证号码、通讯地址、邮政编码、联系人、电话、传真、账号、电子信箱）</w:t>
      </w:r>
    </w:p>
    <w:p w14:paraId="6B45B7C6">
      <w:pPr>
        <w:pStyle w:val="2"/>
        <w:rPr>
          <w:color w:val="auto"/>
        </w:rPr>
      </w:pPr>
    </w:p>
    <w:p w14:paraId="527C5D13">
      <w:pPr>
        <w:spacing w:line="312" w:lineRule="auto"/>
        <w:ind w:firstLine="420" w:firstLineChars="200"/>
        <w:rPr>
          <w:rFonts w:hint="eastAsia" w:ascii="宋体" w:hAnsi="宋体" w:eastAsia="宋体" w:cs="Times New Roman"/>
          <w:color w:val="auto"/>
          <w:szCs w:val="21"/>
        </w:rPr>
      </w:pPr>
      <w:r>
        <w:rPr>
          <w:rFonts w:ascii="宋体" w:hAnsi="宋体" w:eastAsia="宋体" w:cs="Times New Roman"/>
          <w:color w:val="auto"/>
          <w:szCs w:val="21"/>
        </w:rPr>
        <w:t>甲乙双方在平等自愿的基础上，经过友好协商，并依据《中华人民共和国</w:t>
      </w:r>
      <w:r>
        <w:rPr>
          <w:rFonts w:hint="eastAsia" w:ascii="宋体" w:hAnsi="宋体" w:eastAsia="宋体" w:cs="Times New Roman"/>
          <w:color w:val="auto"/>
          <w:szCs w:val="21"/>
        </w:rPr>
        <w:t>民法典</w:t>
      </w:r>
      <w:r>
        <w:rPr>
          <w:rFonts w:ascii="宋体" w:hAnsi="宋体" w:eastAsia="宋体" w:cs="Times New Roman"/>
          <w:color w:val="auto"/>
          <w:szCs w:val="21"/>
        </w:rPr>
        <w:t>》等有关法律、法规的规定，就采购事宜达成如下协议：</w:t>
      </w:r>
    </w:p>
    <w:p w14:paraId="1B42485E">
      <w:pPr>
        <w:spacing w:line="312" w:lineRule="auto"/>
        <w:rPr>
          <w:rFonts w:hint="eastAsia" w:ascii="宋体" w:hAnsi="宋体" w:eastAsia="宋体" w:cs="Times New Roman"/>
          <w:b/>
          <w:color w:val="auto"/>
          <w:szCs w:val="21"/>
        </w:rPr>
      </w:pPr>
      <w:r>
        <w:rPr>
          <w:rFonts w:hint="eastAsia" w:ascii="宋体" w:hAnsi="宋体" w:eastAsia="宋体" w:cs="Times New Roman"/>
          <w:b/>
          <w:color w:val="auto"/>
          <w:szCs w:val="21"/>
        </w:rPr>
        <w:t>第一条   合同标的</w:t>
      </w:r>
    </w:p>
    <w:p w14:paraId="55E7434A">
      <w:pPr>
        <w:spacing w:line="312" w:lineRule="auto"/>
        <w:rPr>
          <w:rFonts w:hint="eastAsia" w:ascii="宋体" w:hAnsi="宋体" w:eastAsia="宋体" w:cs="Times New Roman"/>
          <w:color w:val="auto"/>
          <w:szCs w:val="21"/>
        </w:rPr>
      </w:pPr>
      <w:r>
        <w:rPr>
          <w:rFonts w:hint="eastAsia" w:ascii="宋体" w:hAnsi="宋体" w:eastAsia="宋体" w:cs="Times New Roman"/>
          <w:color w:val="auto"/>
          <w:szCs w:val="21"/>
        </w:rPr>
        <w:t>1.1本合同所购买设备将用于项目。</w:t>
      </w:r>
    </w:p>
    <w:p w14:paraId="0F86EFB7">
      <w:pPr>
        <w:spacing w:line="312" w:lineRule="auto"/>
        <w:rPr>
          <w:rFonts w:hint="eastAsia" w:ascii="宋体" w:hAnsi="宋体" w:eastAsia="宋体" w:cs="Times New Roman"/>
          <w:color w:val="auto"/>
          <w:szCs w:val="21"/>
        </w:rPr>
      </w:pPr>
      <w:r>
        <w:rPr>
          <w:rFonts w:hint="eastAsia" w:ascii="宋体" w:hAnsi="宋体" w:eastAsia="宋体" w:cs="Times New Roman"/>
          <w:color w:val="auto"/>
          <w:szCs w:val="21"/>
        </w:rPr>
        <w:t>1.2设备采购名称、数量、价格</w:t>
      </w:r>
    </w:p>
    <w:tbl>
      <w:tblPr>
        <w:tblStyle w:val="352"/>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0" w:type="dxa"/>
          <w:left w:w="108" w:type="dxa"/>
          <w:bottom w:w="0" w:type="dxa"/>
          <w:right w:w="108" w:type="dxa"/>
        </w:tblCellMar>
      </w:tblPr>
      <w:tblGrid>
        <w:gridCol w:w="718"/>
        <w:gridCol w:w="4276"/>
        <w:gridCol w:w="1193"/>
        <w:gridCol w:w="718"/>
        <w:gridCol w:w="718"/>
        <w:gridCol w:w="718"/>
        <w:gridCol w:w="719"/>
      </w:tblGrid>
      <w:tr w14:paraId="165323B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000000" w:sz="6" w:space="0"/>
              <w:left w:val="single" w:color="000000" w:sz="6" w:space="0"/>
              <w:bottom w:val="single" w:color="000000" w:sz="6" w:space="0"/>
              <w:right w:val="single" w:color="000000" w:sz="6" w:space="0"/>
            </w:tcBorders>
          </w:tcPr>
          <w:p w14:paraId="68C5796D">
            <w:pPr>
              <w:widowControl/>
              <w:spacing w:before="100" w:beforeAutospacing="1" w:after="100" w:afterAutospacing="1"/>
              <w:jc w:val="center"/>
              <w:rPr>
                <w:rFonts w:hint="eastAsia" w:ascii="宋体" w:hAnsi="宋体" w:eastAsia="宋体" w:cs="Times New Roman"/>
                <w:color w:val="auto"/>
                <w:kern w:val="0"/>
                <w:szCs w:val="21"/>
              </w:rPr>
            </w:pPr>
            <w:r>
              <w:rPr>
                <w:rFonts w:ascii="宋体" w:hAnsi="宋体" w:eastAsia="宋体" w:cs="Times New Roman"/>
                <w:color w:val="auto"/>
                <w:kern w:val="0"/>
                <w:szCs w:val="21"/>
              </w:rPr>
              <w:t>序号</w:t>
            </w:r>
          </w:p>
        </w:tc>
        <w:tc>
          <w:tcPr>
            <w:tcW w:w="0" w:type="auto"/>
            <w:tcBorders>
              <w:top w:val="single" w:color="000000" w:sz="6" w:space="0"/>
              <w:left w:val="single" w:color="000000" w:sz="6" w:space="0"/>
              <w:bottom w:val="single" w:color="000000" w:sz="6" w:space="0"/>
              <w:right w:val="single" w:color="000000" w:sz="6" w:space="0"/>
            </w:tcBorders>
          </w:tcPr>
          <w:p w14:paraId="2055A981">
            <w:pPr>
              <w:widowControl/>
              <w:spacing w:before="100" w:beforeAutospacing="1" w:after="100" w:afterAutospacing="1"/>
              <w:jc w:val="center"/>
              <w:rPr>
                <w:rFonts w:hint="eastAsia" w:ascii="宋体" w:hAnsi="宋体" w:eastAsia="宋体" w:cs="Times New Roman"/>
                <w:color w:val="auto"/>
                <w:kern w:val="0"/>
                <w:szCs w:val="21"/>
              </w:rPr>
            </w:pPr>
            <w:r>
              <w:rPr>
                <w:rFonts w:ascii="宋体" w:hAnsi="宋体" w:eastAsia="宋体" w:cs="Times New Roman"/>
                <w:color w:val="auto"/>
                <w:kern w:val="0"/>
                <w:szCs w:val="21"/>
              </w:rPr>
              <w:t>产品名称</w:t>
            </w:r>
          </w:p>
        </w:tc>
        <w:tc>
          <w:tcPr>
            <w:tcW w:w="0" w:type="auto"/>
            <w:tcBorders>
              <w:top w:val="single" w:color="000000" w:sz="6" w:space="0"/>
              <w:left w:val="single" w:color="000000" w:sz="6" w:space="0"/>
              <w:bottom w:val="single" w:color="000000" w:sz="6" w:space="0"/>
              <w:right w:val="single" w:color="000000" w:sz="6" w:space="0"/>
            </w:tcBorders>
          </w:tcPr>
          <w:p w14:paraId="39D3278F">
            <w:pPr>
              <w:widowControl/>
              <w:spacing w:before="100" w:beforeAutospacing="1" w:after="100" w:afterAutospacing="1"/>
              <w:jc w:val="left"/>
              <w:rPr>
                <w:rFonts w:hint="eastAsia" w:ascii="宋体" w:hAnsi="宋体" w:eastAsia="宋体" w:cs="Times New Roman"/>
                <w:color w:val="auto"/>
                <w:kern w:val="0"/>
                <w:szCs w:val="21"/>
              </w:rPr>
            </w:pPr>
            <w:r>
              <w:rPr>
                <w:rFonts w:ascii="宋体" w:hAnsi="宋体" w:eastAsia="宋体" w:cs="Times New Roman"/>
                <w:color w:val="auto"/>
                <w:kern w:val="0"/>
                <w:szCs w:val="21"/>
              </w:rPr>
              <w:t>规格型号</w:t>
            </w:r>
          </w:p>
        </w:tc>
        <w:tc>
          <w:tcPr>
            <w:tcW w:w="0" w:type="auto"/>
            <w:tcBorders>
              <w:top w:val="single" w:color="000000" w:sz="6" w:space="0"/>
              <w:left w:val="single" w:color="000000" w:sz="6" w:space="0"/>
              <w:bottom w:val="single" w:color="000000" w:sz="6" w:space="0"/>
              <w:right w:val="single" w:color="000000" w:sz="6" w:space="0"/>
            </w:tcBorders>
          </w:tcPr>
          <w:p w14:paraId="09705E5D">
            <w:pPr>
              <w:widowControl/>
              <w:spacing w:before="100" w:beforeAutospacing="1" w:after="100" w:afterAutospacing="1"/>
              <w:jc w:val="left"/>
              <w:rPr>
                <w:rFonts w:hint="eastAsia" w:ascii="宋体" w:hAnsi="宋体" w:eastAsia="宋体" w:cs="Times New Roman"/>
                <w:color w:val="auto"/>
                <w:kern w:val="0"/>
                <w:szCs w:val="21"/>
              </w:rPr>
            </w:pPr>
            <w:r>
              <w:rPr>
                <w:rFonts w:ascii="宋体" w:hAnsi="宋体" w:eastAsia="宋体" w:cs="Times New Roman"/>
                <w:color w:val="auto"/>
                <w:kern w:val="0"/>
                <w:szCs w:val="21"/>
              </w:rPr>
              <w:t>数量</w:t>
            </w:r>
          </w:p>
        </w:tc>
        <w:tc>
          <w:tcPr>
            <w:tcW w:w="0" w:type="auto"/>
            <w:tcBorders>
              <w:top w:val="single" w:color="000000" w:sz="6" w:space="0"/>
              <w:left w:val="single" w:color="000000" w:sz="6" w:space="0"/>
              <w:bottom w:val="single" w:color="000000" w:sz="6" w:space="0"/>
              <w:right w:val="single" w:color="000000" w:sz="6" w:space="0"/>
            </w:tcBorders>
          </w:tcPr>
          <w:p w14:paraId="75E57010">
            <w:pPr>
              <w:widowControl/>
              <w:spacing w:before="100" w:beforeAutospacing="1" w:after="100" w:afterAutospacing="1"/>
              <w:jc w:val="left"/>
              <w:rPr>
                <w:rFonts w:hint="eastAsia" w:ascii="宋体" w:hAnsi="宋体" w:eastAsia="宋体" w:cs="Times New Roman"/>
                <w:color w:val="auto"/>
                <w:kern w:val="0"/>
                <w:szCs w:val="21"/>
              </w:rPr>
            </w:pPr>
            <w:r>
              <w:rPr>
                <w:rFonts w:ascii="宋体" w:hAnsi="宋体" w:eastAsia="宋体" w:cs="Times New Roman"/>
                <w:color w:val="auto"/>
                <w:kern w:val="0"/>
                <w:szCs w:val="21"/>
              </w:rPr>
              <w:t>单价</w:t>
            </w:r>
          </w:p>
        </w:tc>
        <w:tc>
          <w:tcPr>
            <w:tcW w:w="0" w:type="auto"/>
            <w:tcBorders>
              <w:top w:val="single" w:color="000000" w:sz="6" w:space="0"/>
              <w:left w:val="single" w:color="000000" w:sz="6" w:space="0"/>
              <w:bottom w:val="single" w:color="000000" w:sz="6" w:space="0"/>
              <w:right w:val="single" w:color="000000" w:sz="6" w:space="0"/>
            </w:tcBorders>
          </w:tcPr>
          <w:p w14:paraId="6823551A">
            <w:pPr>
              <w:widowControl/>
              <w:spacing w:before="100" w:beforeAutospacing="1" w:after="100" w:afterAutospacing="1"/>
              <w:jc w:val="left"/>
              <w:rPr>
                <w:rFonts w:hint="eastAsia" w:ascii="宋体" w:hAnsi="宋体" w:eastAsia="宋体" w:cs="Times New Roman"/>
                <w:color w:val="auto"/>
                <w:kern w:val="0"/>
                <w:szCs w:val="21"/>
              </w:rPr>
            </w:pPr>
            <w:r>
              <w:rPr>
                <w:rFonts w:ascii="宋体" w:hAnsi="宋体" w:eastAsia="宋体" w:cs="Times New Roman"/>
                <w:color w:val="auto"/>
                <w:kern w:val="0"/>
                <w:szCs w:val="21"/>
              </w:rPr>
              <w:t>总价</w:t>
            </w:r>
          </w:p>
        </w:tc>
        <w:tc>
          <w:tcPr>
            <w:tcW w:w="0" w:type="auto"/>
            <w:tcBorders>
              <w:top w:val="single" w:color="000000" w:sz="6" w:space="0"/>
              <w:left w:val="single" w:color="000000" w:sz="6" w:space="0"/>
              <w:bottom w:val="single" w:color="000000" w:sz="6" w:space="0"/>
              <w:right w:val="single" w:color="000000" w:sz="6" w:space="0"/>
            </w:tcBorders>
          </w:tcPr>
          <w:p w14:paraId="6B72D58F">
            <w:pPr>
              <w:widowControl/>
              <w:spacing w:before="100" w:beforeAutospacing="1" w:after="100" w:afterAutospacing="1"/>
              <w:jc w:val="left"/>
              <w:rPr>
                <w:rFonts w:hint="eastAsia" w:ascii="宋体" w:hAnsi="宋体" w:eastAsia="宋体" w:cs="Times New Roman"/>
                <w:color w:val="auto"/>
                <w:kern w:val="0"/>
                <w:szCs w:val="21"/>
              </w:rPr>
            </w:pPr>
            <w:r>
              <w:rPr>
                <w:rFonts w:ascii="宋体" w:hAnsi="宋体" w:eastAsia="宋体" w:cs="Times New Roman"/>
                <w:color w:val="auto"/>
                <w:kern w:val="0"/>
                <w:szCs w:val="21"/>
              </w:rPr>
              <w:t>备注</w:t>
            </w:r>
          </w:p>
        </w:tc>
      </w:tr>
      <w:tr w14:paraId="2565BF9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000000" w:sz="6" w:space="0"/>
              <w:left w:val="single" w:color="000000" w:sz="6" w:space="0"/>
              <w:bottom w:val="single" w:color="000000" w:sz="6" w:space="0"/>
              <w:right w:val="single" w:color="000000" w:sz="6" w:space="0"/>
            </w:tcBorders>
          </w:tcPr>
          <w:p w14:paraId="77003262">
            <w:pPr>
              <w:widowControl/>
              <w:spacing w:before="100" w:beforeAutospacing="1" w:after="100" w:afterAutospacing="1"/>
              <w:jc w:val="center"/>
              <w:rPr>
                <w:rFonts w:hint="eastAsia" w:ascii="宋体" w:hAnsi="宋体" w:eastAsia="宋体" w:cs="Times New Roman"/>
                <w:color w:val="auto"/>
                <w:kern w:val="0"/>
                <w:szCs w:val="21"/>
              </w:rPr>
            </w:pPr>
            <w:r>
              <w:rPr>
                <w:rFonts w:ascii="宋体" w:hAnsi="宋体" w:eastAsia="宋体" w:cs="Times New Roman"/>
                <w:color w:val="auto"/>
                <w:kern w:val="0"/>
                <w:szCs w:val="21"/>
              </w:rPr>
              <w:t>1</w:t>
            </w:r>
          </w:p>
        </w:tc>
        <w:tc>
          <w:tcPr>
            <w:tcW w:w="0" w:type="auto"/>
            <w:tcBorders>
              <w:top w:val="single" w:color="000000" w:sz="6" w:space="0"/>
              <w:left w:val="single" w:color="000000" w:sz="6" w:space="0"/>
              <w:bottom w:val="single" w:color="000000" w:sz="6" w:space="0"/>
              <w:right w:val="single" w:color="000000" w:sz="6" w:space="0"/>
            </w:tcBorders>
          </w:tcPr>
          <w:p w14:paraId="0869E694">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1065157D">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472F2DE6">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0F934402">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60DB510F">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75EB2BAC">
            <w:pPr>
              <w:widowControl/>
              <w:spacing w:before="100" w:beforeAutospacing="1" w:after="100" w:afterAutospacing="1"/>
              <w:jc w:val="left"/>
              <w:rPr>
                <w:rFonts w:hint="eastAsia" w:ascii="宋体" w:hAnsi="宋体" w:eastAsia="宋体" w:cs="Times New Roman"/>
                <w:color w:val="auto"/>
                <w:kern w:val="0"/>
                <w:szCs w:val="21"/>
              </w:rPr>
            </w:pPr>
          </w:p>
        </w:tc>
      </w:tr>
      <w:tr w14:paraId="35126D2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000000" w:sz="6" w:space="0"/>
              <w:left w:val="single" w:color="000000" w:sz="6" w:space="0"/>
              <w:bottom w:val="single" w:color="000000" w:sz="6" w:space="0"/>
              <w:right w:val="single" w:color="000000" w:sz="6" w:space="0"/>
            </w:tcBorders>
          </w:tcPr>
          <w:p w14:paraId="36771757">
            <w:pPr>
              <w:widowControl/>
              <w:spacing w:before="100" w:beforeAutospacing="1" w:after="100" w:afterAutospacing="1"/>
              <w:jc w:val="center"/>
              <w:rPr>
                <w:rFonts w:hint="eastAsia" w:ascii="宋体" w:hAnsi="宋体" w:eastAsia="宋体" w:cs="Times New Roman"/>
                <w:color w:val="auto"/>
                <w:kern w:val="0"/>
                <w:szCs w:val="21"/>
              </w:rPr>
            </w:pPr>
            <w:r>
              <w:rPr>
                <w:rFonts w:ascii="宋体" w:hAnsi="宋体" w:eastAsia="宋体" w:cs="Times New Roman"/>
                <w:color w:val="auto"/>
                <w:kern w:val="0"/>
                <w:szCs w:val="21"/>
              </w:rPr>
              <w:t>2</w:t>
            </w:r>
          </w:p>
        </w:tc>
        <w:tc>
          <w:tcPr>
            <w:tcW w:w="0" w:type="auto"/>
            <w:tcBorders>
              <w:top w:val="single" w:color="000000" w:sz="6" w:space="0"/>
              <w:left w:val="single" w:color="000000" w:sz="6" w:space="0"/>
              <w:bottom w:val="single" w:color="000000" w:sz="6" w:space="0"/>
              <w:right w:val="single" w:color="000000" w:sz="6" w:space="0"/>
            </w:tcBorders>
          </w:tcPr>
          <w:p w14:paraId="0B5E9360">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1FF1AB5D">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3CCE01F6">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08DCBEA1">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1A3ACC92">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76E9E30B">
            <w:pPr>
              <w:widowControl/>
              <w:spacing w:before="100" w:beforeAutospacing="1" w:after="100" w:afterAutospacing="1"/>
              <w:jc w:val="left"/>
              <w:rPr>
                <w:rFonts w:hint="eastAsia" w:ascii="宋体" w:hAnsi="宋体" w:eastAsia="宋体" w:cs="Times New Roman"/>
                <w:color w:val="auto"/>
                <w:kern w:val="0"/>
                <w:szCs w:val="21"/>
              </w:rPr>
            </w:pPr>
          </w:p>
        </w:tc>
      </w:tr>
      <w:tr w14:paraId="5FF6857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000000" w:sz="6" w:space="0"/>
              <w:left w:val="single" w:color="000000" w:sz="6" w:space="0"/>
              <w:bottom w:val="single" w:color="000000" w:sz="6" w:space="0"/>
              <w:right w:val="single" w:color="000000" w:sz="6" w:space="0"/>
            </w:tcBorders>
          </w:tcPr>
          <w:p w14:paraId="42CE144E">
            <w:pPr>
              <w:widowControl/>
              <w:spacing w:before="100" w:beforeAutospacing="1" w:after="100" w:afterAutospacing="1"/>
              <w:jc w:val="center"/>
              <w:rPr>
                <w:rFonts w:hint="eastAsia" w:ascii="宋体" w:hAnsi="宋体" w:eastAsia="宋体" w:cs="Times New Roman"/>
                <w:color w:val="auto"/>
                <w:kern w:val="0"/>
                <w:szCs w:val="21"/>
              </w:rPr>
            </w:pPr>
            <w:r>
              <w:rPr>
                <w:rFonts w:ascii="宋体" w:hAnsi="宋体" w:eastAsia="宋体" w:cs="Times New Roman"/>
                <w:color w:val="auto"/>
                <w:kern w:val="0"/>
                <w:szCs w:val="21"/>
              </w:rPr>
              <w:t>3</w:t>
            </w:r>
          </w:p>
        </w:tc>
        <w:tc>
          <w:tcPr>
            <w:tcW w:w="0" w:type="auto"/>
            <w:tcBorders>
              <w:top w:val="single" w:color="000000" w:sz="6" w:space="0"/>
              <w:left w:val="single" w:color="000000" w:sz="6" w:space="0"/>
              <w:bottom w:val="single" w:color="000000" w:sz="6" w:space="0"/>
              <w:right w:val="single" w:color="000000" w:sz="6" w:space="0"/>
            </w:tcBorders>
          </w:tcPr>
          <w:p w14:paraId="1EB0F103">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6543D6EB">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6C935699">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4A616075">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4F7378C3">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39232B0B">
            <w:pPr>
              <w:widowControl/>
              <w:spacing w:before="100" w:beforeAutospacing="1" w:after="100" w:afterAutospacing="1"/>
              <w:jc w:val="left"/>
              <w:rPr>
                <w:rFonts w:hint="eastAsia" w:ascii="宋体" w:hAnsi="宋体" w:eastAsia="宋体" w:cs="Times New Roman"/>
                <w:color w:val="auto"/>
                <w:kern w:val="0"/>
                <w:szCs w:val="21"/>
              </w:rPr>
            </w:pPr>
          </w:p>
        </w:tc>
      </w:tr>
      <w:tr w14:paraId="0456F4F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000000" w:sz="6" w:space="0"/>
              <w:left w:val="single" w:color="000000" w:sz="6" w:space="0"/>
              <w:bottom w:val="single" w:color="000000" w:sz="6" w:space="0"/>
              <w:right w:val="single" w:color="000000" w:sz="6" w:space="0"/>
            </w:tcBorders>
          </w:tcPr>
          <w:p w14:paraId="075A2245">
            <w:pPr>
              <w:widowControl/>
              <w:spacing w:before="100" w:beforeAutospacing="1" w:after="100" w:afterAutospacing="1"/>
              <w:jc w:val="center"/>
              <w:rPr>
                <w:rFonts w:hint="eastAsia" w:ascii="宋体" w:hAnsi="宋体" w:eastAsia="宋体" w:cs="Times New Roman"/>
                <w:color w:val="auto"/>
                <w:kern w:val="0"/>
                <w:szCs w:val="21"/>
              </w:rPr>
            </w:pPr>
            <w:r>
              <w:rPr>
                <w:rFonts w:ascii="宋体" w:hAnsi="宋体" w:eastAsia="宋体" w:cs="Times New Roman"/>
                <w:color w:val="auto"/>
                <w:kern w:val="0"/>
                <w:szCs w:val="21"/>
              </w:rPr>
              <w:t>4</w:t>
            </w:r>
          </w:p>
        </w:tc>
        <w:tc>
          <w:tcPr>
            <w:tcW w:w="0" w:type="auto"/>
            <w:tcBorders>
              <w:top w:val="single" w:color="000000" w:sz="6" w:space="0"/>
              <w:left w:val="single" w:color="000000" w:sz="6" w:space="0"/>
              <w:bottom w:val="single" w:color="000000" w:sz="6" w:space="0"/>
              <w:right w:val="single" w:color="000000" w:sz="6" w:space="0"/>
            </w:tcBorders>
          </w:tcPr>
          <w:p w14:paraId="1B66C48A">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70DBB358">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25956BBB">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615C0A38">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0F2592F6">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5C4D518B">
            <w:pPr>
              <w:widowControl/>
              <w:spacing w:before="100" w:beforeAutospacing="1" w:after="100" w:afterAutospacing="1"/>
              <w:jc w:val="left"/>
              <w:rPr>
                <w:rFonts w:hint="eastAsia" w:ascii="宋体" w:hAnsi="宋体" w:eastAsia="宋体" w:cs="Times New Roman"/>
                <w:color w:val="auto"/>
                <w:kern w:val="0"/>
                <w:szCs w:val="21"/>
              </w:rPr>
            </w:pPr>
          </w:p>
        </w:tc>
      </w:tr>
      <w:tr w14:paraId="28354A6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000000" w:sz="6" w:space="0"/>
              <w:left w:val="single" w:color="000000" w:sz="6" w:space="0"/>
              <w:bottom w:val="single" w:color="000000" w:sz="6" w:space="0"/>
              <w:right w:val="single" w:color="000000" w:sz="6" w:space="0"/>
            </w:tcBorders>
          </w:tcPr>
          <w:p w14:paraId="40ED7B2E">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3E0B6C67">
            <w:pPr>
              <w:widowControl/>
              <w:spacing w:before="100" w:beforeAutospacing="1" w:after="100" w:afterAutospacing="1"/>
              <w:jc w:val="left"/>
              <w:rPr>
                <w:rFonts w:hint="eastAsia" w:ascii="宋体" w:hAnsi="宋体" w:eastAsia="宋体" w:cs="Times New Roman"/>
                <w:color w:val="auto"/>
                <w:kern w:val="0"/>
                <w:szCs w:val="21"/>
              </w:rPr>
            </w:pPr>
            <w:r>
              <w:rPr>
                <w:rFonts w:ascii="宋体" w:hAnsi="宋体" w:eastAsia="宋体" w:cs="Times New Roman"/>
                <w:color w:val="auto"/>
                <w:kern w:val="0"/>
                <w:szCs w:val="21"/>
              </w:rPr>
              <w:t>合同总价款：  元（大写：人民币元）</w:t>
            </w:r>
          </w:p>
        </w:tc>
        <w:tc>
          <w:tcPr>
            <w:tcW w:w="0" w:type="auto"/>
            <w:tcBorders>
              <w:top w:val="single" w:color="000000" w:sz="6" w:space="0"/>
              <w:left w:val="single" w:color="000000" w:sz="6" w:space="0"/>
              <w:bottom w:val="single" w:color="000000" w:sz="6" w:space="0"/>
              <w:right w:val="single" w:color="000000" w:sz="6" w:space="0"/>
            </w:tcBorders>
          </w:tcPr>
          <w:p w14:paraId="6F104F4C">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05583522">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45AAF758">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48DE9979">
            <w:pPr>
              <w:widowControl/>
              <w:spacing w:before="100" w:beforeAutospacing="1" w:after="100" w:afterAutospacing="1"/>
              <w:jc w:val="left"/>
              <w:rPr>
                <w:rFonts w:hint="eastAsia" w:ascii="宋体" w:hAnsi="宋体" w:eastAsia="宋体" w:cs="Times New Roman"/>
                <w:color w:val="auto"/>
                <w:kern w:val="0"/>
                <w:szCs w:val="21"/>
              </w:rPr>
            </w:pPr>
          </w:p>
        </w:tc>
        <w:tc>
          <w:tcPr>
            <w:tcW w:w="0" w:type="auto"/>
            <w:tcBorders>
              <w:top w:val="single" w:color="000000" w:sz="6" w:space="0"/>
              <w:left w:val="single" w:color="000000" w:sz="6" w:space="0"/>
              <w:bottom w:val="single" w:color="000000" w:sz="6" w:space="0"/>
              <w:right w:val="single" w:color="000000" w:sz="6" w:space="0"/>
            </w:tcBorders>
          </w:tcPr>
          <w:p w14:paraId="5C6F838C">
            <w:pPr>
              <w:widowControl/>
              <w:spacing w:before="100" w:beforeAutospacing="1" w:after="100" w:afterAutospacing="1"/>
              <w:jc w:val="left"/>
              <w:rPr>
                <w:rFonts w:hint="eastAsia" w:ascii="宋体" w:hAnsi="宋体" w:eastAsia="宋体" w:cs="Times New Roman"/>
                <w:color w:val="auto"/>
                <w:kern w:val="0"/>
                <w:szCs w:val="21"/>
              </w:rPr>
            </w:pPr>
          </w:p>
        </w:tc>
      </w:tr>
    </w:tbl>
    <w:p w14:paraId="641937E4">
      <w:pPr>
        <w:spacing w:line="312" w:lineRule="auto"/>
        <w:rPr>
          <w:rFonts w:hint="eastAsia" w:ascii="宋体" w:hAnsi="宋体" w:eastAsia="宋体" w:cs="Times New Roman"/>
          <w:color w:val="auto"/>
          <w:szCs w:val="21"/>
        </w:rPr>
      </w:pPr>
    </w:p>
    <w:p w14:paraId="7FAF0165">
      <w:pPr>
        <w:spacing w:after="120"/>
        <w:rPr>
          <w:rFonts w:hint="eastAsia" w:ascii="宋体" w:hAnsi="宋体" w:eastAsia="宋体" w:cs="Times New Roman"/>
          <w:color w:val="auto"/>
          <w:kern w:val="0"/>
          <w:szCs w:val="21"/>
        </w:rPr>
      </w:pPr>
      <w:r>
        <w:rPr>
          <w:rFonts w:ascii="宋体" w:hAnsi="宋体" w:eastAsia="宋体" w:cs="Times New Roman"/>
          <w:color w:val="auto"/>
          <w:kern w:val="0"/>
          <w:szCs w:val="21"/>
        </w:rPr>
        <w:t>1.3凡乙方供应的设备均应是全新的，技术先进的</w:t>
      </w:r>
      <w:r>
        <w:rPr>
          <w:rFonts w:hint="eastAsia" w:ascii="宋体" w:hAnsi="宋体" w:eastAsia="宋体" w:cs="Times New Roman"/>
          <w:color w:val="auto"/>
          <w:kern w:val="0"/>
          <w:szCs w:val="21"/>
        </w:rPr>
        <w:t>，无任何权利负担的</w:t>
      </w:r>
      <w:r>
        <w:rPr>
          <w:rFonts w:ascii="宋体" w:hAnsi="宋体" w:eastAsia="宋体" w:cs="Times New Roman"/>
          <w:color w:val="auto"/>
          <w:kern w:val="0"/>
          <w:szCs w:val="21"/>
        </w:rPr>
        <w:t>。</w:t>
      </w:r>
    </w:p>
    <w:p w14:paraId="65A1F764">
      <w:pPr>
        <w:spacing w:after="120"/>
        <w:rPr>
          <w:rFonts w:hint="eastAsia" w:ascii="宋体" w:hAnsi="宋体" w:eastAsia="宋体" w:cs="Times New Roman"/>
          <w:color w:val="auto"/>
          <w:kern w:val="0"/>
          <w:szCs w:val="21"/>
        </w:rPr>
      </w:pPr>
      <w:r>
        <w:rPr>
          <w:rFonts w:ascii="宋体" w:hAnsi="宋体" w:eastAsia="宋体" w:cs="Times New Roman"/>
          <w:color w:val="auto"/>
          <w:kern w:val="0"/>
          <w:szCs w:val="21"/>
        </w:rPr>
        <w:t>1.4设备技术指标参数和性能、技术资料见技术规范书中要求。</w:t>
      </w:r>
    </w:p>
    <w:p w14:paraId="41901BF2">
      <w:pPr>
        <w:spacing w:after="120"/>
        <w:rPr>
          <w:rFonts w:hint="eastAsia" w:ascii="宋体" w:hAnsi="宋体" w:eastAsia="宋体" w:cs="Times New Roman"/>
          <w:b/>
          <w:color w:val="auto"/>
          <w:kern w:val="0"/>
          <w:szCs w:val="21"/>
        </w:rPr>
      </w:pPr>
      <w:r>
        <w:rPr>
          <w:rFonts w:ascii="宋体" w:hAnsi="宋体" w:eastAsia="宋体" w:cs="Times New Roman"/>
          <w:color w:val="auto"/>
          <w:kern w:val="0"/>
          <w:szCs w:val="21"/>
        </w:rPr>
        <w:t>1.5乙方提供设备的运输及保险。</w:t>
      </w:r>
    </w:p>
    <w:p w14:paraId="33E7687B">
      <w:pPr>
        <w:spacing w:after="120" w:line="312" w:lineRule="auto"/>
        <w:rPr>
          <w:rFonts w:hint="eastAsia" w:ascii="宋体" w:hAnsi="宋体" w:eastAsia="宋体" w:cs="Times New Roman"/>
          <w:b/>
          <w:color w:val="auto"/>
          <w:kern w:val="0"/>
          <w:szCs w:val="21"/>
        </w:rPr>
      </w:pPr>
      <w:r>
        <w:rPr>
          <w:rFonts w:ascii="宋体" w:hAnsi="宋体" w:eastAsia="宋体" w:cs="Times New Roman"/>
          <w:b/>
          <w:color w:val="auto"/>
          <w:kern w:val="0"/>
          <w:szCs w:val="21"/>
        </w:rPr>
        <w:t>第二条供货范围</w:t>
      </w:r>
    </w:p>
    <w:p w14:paraId="29682367">
      <w:pPr>
        <w:spacing w:after="120" w:line="312" w:lineRule="auto"/>
        <w:ind w:firstLine="411" w:firstLineChars="196"/>
        <w:rPr>
          <w:rFonts w:hint="eastAsia" w:ascii="宋体" w:hAnsi="宋体" w:eastAsia="宋体" w:cs="Times New Roman"/>
          <w:color w:val="auto"/>
          <w:kern w:val="0"/>
          <w:szCs w:val="21"/>
        </w:rPr>
      </w:pPr>
      <w:r>
        <w:rPr>
          <w:rFonts w:ascii="宋体" w:hAnsi="宋体" w:eastAsia="宋体" w:cs="Times New Roman"/>
          <w:color w:val="auto"/>
          <w:kern w:val="0"/>
          <w:szCs w:val="21"/>
        </w:rPr>
        <w:t>合同供货范围包括了所有设备、技术资料、技术服务。但在执行合同过程中如发现有任何漏项和短缺，且在发货清单中并未列入而且确定不是乙方供货范围中应该有但属于满足合同对合同设备的性能保证值要求所必需的，均应由乙方负责将所短缺的设备、技术、资料、专用工具等补上，且不发生费用问题。</w:t>
      </w:r>
    </w:p>
    <w:p w14:paraId="5AD81438">
      <w:pPr>
        <w:spacing w:after="120" w:line="312" w:lineRule="auto"/>
        <w:rPr>
          <w:rFonts w:hint="eastAsia" w:ascii="宋体" w:hAnsi="宋体" w:eastAsia="宋体" w:cs="Times New Roman"/>
          <w:b/>
          <w:color w:val="auto"/>
          <w:kern w:val="0"/>
          <w:szCs w:val="21"/>
        </w:rPr>
      </w:pPr>
      <w:r>
        <w:rPr>
          <w:rFonts w:ascii="宋体" w:hAnsi="宋体" w:eastAsia="宋体" w:cs="Times New Roman"/>
          <w:b/>
          <w:color w:val="auto"/>
          <w:kern w:val="0"/>
          <w:szCs w:val="21"/>
        </w:rPr>
        <w:t>第三条合同价格</w:t>
      </w:r>
    </w:p>
    <w:p w14:paraId="711526EF">
      <w:pPr>
        <w:spacing w:after="120" w:line="312" w:lineRule="auto"/>
        <w:rPr>
          <w:rFonts w:hint="eastAsia" w:ascii="宋体" w:hAnsi="宋体" w:eastAsia="宋体" w:cs="Times New Roman"/>
          <w:color w:val="auto"/>
          <w:kern w:val="0"/>
          <w:szCs w:val="21"/>
        </w:rPr>
      </w:pPr>
      <w:r>
        <w:rPr>
          <w:rFonts w:ascii="宋体" w:hAnsi="宋体" w:eastAsia="宋体" w:cs="Times New Roman"/>
          <w:color w:val="auto"/>
          <w:kern w:val="0"/>
          <w:szCs w:val="21"/>
        </w:rPr>
        <w:t>3.1本合同总价为</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rPr>
        <w:t>元（大写：人民币</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rPr>
        <w:t>元整）。</w:t>
      </w:r>
    </w:p>
    <w:p w14:paraId="6946B4C6">
      <w:pPr>
        <w:spacing w:after="120" w:line="312" w:lineRule="auto"/>
        <w:rPr>
          <w:rFonts w:hint="eastAsia" w:ascii="宋体" w:hAnsi="宋体" w:eastAsia="宋体" w:cs="Times New Roman"/>
          <w:color w:val="auto"/>
          <w:kern w:val="0"/>
          <w:szCs w:val="21"/>
        </w:rPr>
      </w:pPr>
      <w:r>
        <w:rPr>
          <w:rFonts w:ascii="宋体" w:hAnsi="宋体" w:eastAsia="宋体" w:cs="Times New Roman"/>
          <w:color w:val="auto"/>
          <w:kern w:val="0"/>
          <w:szCs w:val="21"/>
        </w:rPr>
        <w:t>3.2本合同价格包括合同设备、技术资料、技术服务等费用，还包括合同设备的税费、在运输过程中发生的一切费用和保险费等与本合同有关的所有费用。</w:t>
      </w:r>
    </w:p>
    <w:p w14:paraId="4DE21C15">
      <w:pPr>
        <w:spacing w:after="120" w:line="312" w:lineRule="auto"/>
        <w:rPr>
          <w:rFonts w:hint="eastAsia" w:ascii="宋体" w:hAnsi="宋体" w:eastAsia="宋体" w:cs="Times New Roman"/>
          <w:color w:val="auto"/>
          <w:kern w:val="0"/>
          <w:szCs w:val="21"/>
        </w:rPr>
      </w:pPr>
      <w:r>
        <w:rPr>
          <w:rFonts w:ascii="宋体" w:hAnsi="宋体" w:eastAsia="宋体" w:cs="Times New Roman"/>
          <w:color w:val="auto"/>
          <w:kern w:val="0"/>
          <w:szCs w:val="21"/>
        </w:rPr>
        <w:t>3.3本合同总价在合同期内为不变价。</w:t>
      </w:r>
    </w:p>
    <w:p w14:paraId="344A6C78">
      <w:pPr>
        <w:spacing w:after="120" w:line="312" w:lineRule="auto"/>
        <w:rPr>
          <w:rFonts w:hint="eastAsia" w:ascii="宋体" w:hAnsi="宋体" w:eastAsia="宋体" w:cs="Times New Roman"/>
          <w:b/>
          <w:color w:val="auto"/>
          <w:kern w:val="0"/>
          <w:szCs w:val="21"/>
        </w:rPr>
      </w:pPr>
      <w:r>
        <w:rPr>
          <w:rFonts w:ascii="宋体" w:hAnsi="宋体" w:eastAsia="宋体" w:cs="Times New Roman"/>
          <w:b/>
          <w:color w:val="auto"/>
          <w:kern w:val="0"/>
          <w:szCs w:val="21"/>
        </w:rPr>
        <w:t>第四条价款支付</w:t>
      </w:r>
    </w:p>
    <w:p w14:paraId="15581E67">
      <w:pPr>
        <w:spacing w:after="120" w:line="312" w:lineRule="auto"/>
        <w:rPr>
          <w:rFonts w:hint="eastAsia" w:ascii="宋体" w:hAnsi="宋体" w:eastAsia="宋体" w:cs="Times New Roman"/>
          <w:color w:val="auto"/>
          <w:kern w:val="0"/>
          <w:szCs w:val="21"/>
        </w:rPr>
      </w:pPr>
      <w:r>
        <w:rPr>
          <w:rFonts w:ascii="宋体" w:hAnsi="宋体" w:eastAsia="宋体" w:cs="Times New Roman"/>
          <w:color w:val="auto"/>
          <w:kern w:val="0"/>
          <w:szCs w:val="21"/>
        </w:rPr>
        <w:t>4.1本合同使用货币种类为人民币。</w:t>
      </w:r>
    </w:p>
    <w:p w14:paraId="0B8D4DFD">
      <w:pPr>
        <w:spacing w:after="120" w:line="312" w:lineRule="auto"/>
        <w:rPr>
          <w:rFonts w:hint="eastAsia" w:ascii="宋体" w:hAnsi="宋体" w:eastAsia="宋体" w:cs="Times New Roman"/>
          <w:color w:val="auto"/>
          <w:kern w:val="0"/>
          <w:szCs w:val="21"/>
        </w:rPr>
      </w:pPr>
      <w:r>
        <w:rPr>
          <w:rFonts w:ascii="宋体" w:hAnsi="宋体" w:eastAsia="宋体" w:cs="Times New Roman"/>
          <w:color w:val="auto"/>
          <w:kern w:val="0"/>
          <w:szCs w:val="21"/>
        </w:rPr>
        <w:t>4.2付款方式：电汇。</w:t>
      </w:r>
    </w:p>
    <w:p w14:paraId="3F477E18">
      <w:pPr>
        <w:spacing w:after="120" w:line="312" w:lineRule="auto"/>
        <w:rPr>
          <w:rFonts w:hint="eastAsia" w:ascii="宋体" w:hAnsi="宋体" w:eastAsia="宋体" w:cs="Times New Roman"/>
          <w:color w:val="auto"/>
          <w:kern w:val="0"/>
          <w:szCs w:val="21"/>
        </w:rPr>
      </w:pPr>
      <w:r>
        <w:rPr>
          <w:rFonts w:ascii="宋体" w:hAnsi="宋体" w:eastAsia="宋体" w:cs="Times New Roman"/>
          <w:color w:val="auto"/>
          <w:kern w:val="0"/>
          <w:szCs w:val="21"/>
        </w:rPr>
        <w:t>4.3合同款的支付</w:t>
      </w:r>
    </w:p>
    <w:p w14:paraId="59350D63">
      <w:pPr>
        <w:spacing w:before="25"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（详见招标文件）</w:t>
      </w:r>
    </w:p>
    <w:p w14:paraId="29102458">
      <w:pPr>
        <w:spacing w:before="25" w:line="312" w:lineRule="auto"/>
        <w:rPr>
          <w:rFonts w:hint="eastAsia" w:ascii="宋体" w:hAnsi="宋体" w:eastAsia="宋体" w:cs="Times New Roman"/>
          <w:b/>
          <w:color w:val="auto"/>
          <w:kern w:val="0"/>
          <w:szCs w:val="21"/>
        </w:rPr>
      </w:pPr>
      <w:r>
        <w:rPr>
          <w:rFonts w:hint="eastAsia" w:ascii="宋体" w:hAnsi="宋体" w:eastAsia="宋体" w:cs="Times New Roman"/>
          <w:color w:val="auto"/>
        </w:rPr>
        <w:t>由甲方决定是否需要提供预付款担保</w:t>
      </w:r>
      <w:r>
        <w:rPr>
          <w:rFonts w:ascii="宋体" w:hAnsi="宋体" w:eastAsia="宋体" w:cs="Times New Roman"/>
          <w:color w:val="auto"/>
        </w:rPr>
        <w:t>(</w:t>
      </w:r>
      <w:r>
        <w:rPr>
          <w:rFonts w:hint="eastAsia" w:ascii="宋体" w:hAnsi="宋体" w:eastAsia="宋体" w:cs="Times New Roman"/>
          <w:color w:val="auto"/>
        </w:rPr>
        <w:t>预付款担保形式可以是银行保函、担保公司担保等</w:t>
      </w:r>
      <w:r>
        <w:rPr>
          <w:rFonts w:ascii="宋体" w:hAnsi="宋体" w:eastAsia="宋体" w:cs="Times New Roman"/>
          <w:color w:val="auto"/>
        </w:rPr>
        <w:t>)</w:t>
      </w:r>
      <w:r>
        <w:rPr>
          <w:rFonts w:hint="eastAsia" w:ascii="宋体" w:hAnsi="宋体" w:eastAsia="宋体" w:cs="Times New Roman"/>
          <w:color w:val="auto"/>
        </w:rPr>
        <w:t>。</w:t>
      </w:r>
    </w:p>
    <w:p w14:paraId="4460C6C8">
      <w:pPr>
        <w:spacing w:after="120" w:line="312" w:lineRule="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第五条交货和运输</w:t>
      </w:r>
    </w:p>
    <w:p w14:paraId="2F0DA3A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5.1交货和运输</w:t>
      </w:r>
    </w:p>
    <w:p w14:paraId="2F45543A">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5.1.1本合同设备的交货期应满足工程安装进度的要求，并保证部件完整性。</w:t>
      </w:r>
    </w:p>
    <w:p w14:paraId="5007BD81">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5.1.2交货时间及地点：按照甲方在本合同中确定的设备型号、数量及双方书面文件约定的设备交货计划完成合同项下设备的制造并运至交货地点。本次货物的交货时间为。合同设备的交货地点为甲方指定地点（具体地址：）。</w:t>
      </w:r>
    </w:p>
    <w:p w14:paraId="30BE99A6">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5.1.3在货物预计启动发货日前，乙方以传真将货物总清单和装箱总清单及本合同第6条第6款中的各项内容通知甲方。</w:t>
      </w:r>
    </w:p>
    <w:p w14:paraId="274CF3F9">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5.1.4合同设备的交货日前将全部合同设备运到甲方交货地点，双方在货物清单上签字为准。</w:t>
      </w:r>
    </w:p>
    <w:p w14:paraId="6D87998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5.1.5乙方负责合同设备从乙方到现场交货地点的运输。</w:t>
      </w:r>
    </w:p>
    <w:p w14:paraId="1DF498CD">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5.1.6在每批货物备货小时内乙方应以形式将该批货物的如下内容通知甲方：</w:t>
      </w:r>
    </w:p>
    <w:p w14:paraId="45984B3C">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（1）合同号；</w:t>
      </w:r>
    </w:p>
    <w:p w14:paraId="133E8825">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（2）货物名称及编号；</w:t>
      </w:r>
    </w:p>
    <w:p w14:paraId="3CDDD1EB">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（3）货物总毛重量；</w:t>
      </w:r>
    </w:p>
    <w:p w14:paraId="076D0C4A">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（4）总包装件数；</w:t>
      </w:r>
    </w:p>
    <w:p w14:paraId="661B5771">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（5）对于特殊物品（易燃易爆、有毒物品及其他危险品和运输过程中对温度等环境因素和震动有特殊要求的设备或物品）必需特别标明其品名、性质、特殊保护措施、保存方法以及处理意外情况的办法。</w:t>
      </w:r>
    </w:p>
    <w:p w14:paraId="48848D7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5.2乙方应向甲方提供满足工程设计、施工、调试、检验、运行和维修所需的技术资料。</w:t>
      </w:r>
    </w:p>
    <w:p w14:paraId="101335FF">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5.3甲方可派遣代表到乙方工厂检查包装质量和监督装车情况；如果甲方代表不能及时参加检验，则乙方有权发货。上述甲方代表的检查与监督不能免除乙方应负的责任。</w:t>
      </w:r>
    </w:p>
    <w:p w14:paraId="6DAC979F">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5.4乙方必需负责货物的运输和现场验货。路途一切费用由乙方负担。</w:t>
      </w:r>
    </w:p>
    <w:p w14:paraId="4FFBA417">
      <w:pPr>
        <w:spacing w:after="120" w:line="312" w:lineRule="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第六条包装与标记</w:t>
      </w:r>
    </w:p>
    <w:p w14:paraId="5385EA9C">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6.1乙方交付的所有货物要符合国家主管机关的规定，具有适合长途运输和装卸的坚固包装。包装应保证在运输、装卸过程中完好无损，并有减振、防冲击及防磨损措施。包装应按设备特点，按需要分别加上防潮、防锈、防腐蚀的保护措施，以保证货物在没有任何损坏和腐蚀的情况下安全运抵设备安装现场。设备装货和包装前，乙方负责对其进行检查和清理，不留异物，并保证零部件齐全。</w:t>
      </w:r>
    </w:p>
    <w:p w14:paraId="322206A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6.2乙方对包装箱内和捆内的各散装部件在装配图中的部件号、零件号应标记清楚。</w:t>
      </w:r>
    </w:p>
    <w:p w14:paraId="5DE434C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6.3乙方应在每件包装箱的两个侧面上，用明显易见的中文字样印刷以下标记：</w:t>
      </w:r>
    </w:p>
    <w:p w14:paraId="1CD011C0">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6.3.1合同号；</w:t>
      </w:r>
    </w:p>
    <w:p w14:paraId="23226C4D">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6.3.2供货、收货单位名称；</w:t>
      </w:r>
    </w:p>
    <w:p w14:paraId="457A5B48">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6.3.2设备名称、编号；</w:t>
      </w:r>
    </w:p>
    <w:p w14:paraId="2D6669A6">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6.3.2箱号/件号；</w:t>
      </w:r>
    </w:p>
    <w:p w14:paraId="3EFE2C0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6.3.2数量；</w:t>
      </w:r>
    </w:p>
    <w:p w14:paraId="5F490F90">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6.3.2毛重/净重（公斤）；</w:t>
      </w:r>
    </w:p>
    <w:p w14:paraId="1A502C33">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6.3.2体积（长×宽×高；以毫米表示）。</w:t>
      </w:r>
    </w:p>
    <w:p w14:paraId="54625519">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6.4乙方应在包装箱的侧面以运输常用的标记和图案标明重心位置及起吊点，以便于装卸搬运。按照货物的特点，装卸和运输上的不同要求，包装箱上应明显地印刷有“轻放”“勿倒置”“防雨”等字样。</w:t>
      </w:r>
    </w:p>
    <w:p w14:paraId="56340C0F">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6.5包装内要带有足够的货物支架或包装垫木。</w:t>
      </w:r>
    </w:p>
    <w:p w14:paraId="397C3DA6">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6.6每件包装箱内，应附有包括：名称、数量的详细装箱单、合格证。包装箱内应有产品出厂质量合格证明书、技术说明书各一份以及相应的技术资料。</w:t>
      </w:r>
    </w:p>
    <w:p w14:paraId="769D9C2D">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6.7专用工具（如有）分别包装并按本合同第6条第3款要求注明相关内容。</w:t>
      </w:r>
    </w:p>
    <w:p w14:paraId="547A4AE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6.8各设备的松散零星部件应采用良好包装方式，装入尺寸适当的箱内，随整车发送。</w:t>
      </w:r>
    </w:p>
    <w:p w14:paraId="2B4DA910">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6.9对于需要精确装配的明亮洁净加工面的货物，加工面应采用优良、耐久的保护层以防止在安装前发生锈蚀和损坏。</w:t>
      </w:r>
    </w:p>
    <w:p w14:paraId="2005B65E">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6.10凡由于乙方包装或保管不善致使货物遇到损坏或丢失时，不论在何时何地发现，一经证实，乙方均应按本合同质保期相关规定负责及时修理、更换。在运输中发现货物损坏和丢失时，甲方不负责运输过程中发生的一切费用及责任，同时乙方应甲方要求的时间内向甲方补供货物，否则承担相应的违约责任。</w:t>
      </w:r>
    </w:p>
    <w:p w14:paraId="5969D289">
      <w:pPr>
        <w:spacing w:after="120" w:line="312" w:lineRule="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第七条技术服务及联络</w:t>
      </w:r>
    </w:p>
    <w:p w14:paraId="75E8C080">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7.1乙方应及时提供与本合同设备有关的工程设计、检验、土建、安装、调试、运行、检修等相应的技术指导、技术配合、技术培训等全过程的服务。</w:t>
      </w:r>
    </w:p>
    <w:p w14:paraId="6147BCBD">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7.2乙方需派代表到现场进行技术服务，指导甲方按乙方的技术资料进行安装、调试和并网，并负责解决合同设备在安装调试、运行中发现的制造质量及性能等有关问题。</w:t>
      </w:r>
    </w:p>
    <w:p w14:paraId="0357076A">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7.3乙方有义务在必要时邀请甲方参与乙方的技术设计，并向甲方解释技术设计。</w:t>
      </w:r>
    </w:p>
    <w:p w14:paraId="50851E33">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7.4如遇有重大问题需双方立即协商时，任何一方均可建议召开会议，另一方应当同意参加。</w:t>
      </w:r>
    </w:p>
    <w:p w14:paraId="166E2D61">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7.5甲方有权将乙方所提供的一切与本合同设备有关的资料分发给予本工程有关的各方，并不由此而构成任何侵权，但不得向任何与本工程无关的第三方提供。</w:t>
      </w:r>
    </w:p>
    <w:p w14:paraId="3F0D2C3F">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7.6对盖有“密件”印章乙方的资料，双方都有为其保密的义务。</w:t>
      </w:r>
    </w:p>
    <w:p w14:paraId="165F1643">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7.7凡与本合同设备相连接的其他设备装置，乙方有提供接口和技术配合的义务，并不由此而发生合同价格以外的任何费用。</w:t>
      </w:r>
    </w:p>
    <w:p w14:paraId="120608E6">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7.8乙方派到现场服务的技术人员应是有实践经验、可胜任此项工作的人员。甲方有权提出更换不符合要求的乙方现场服务人员，乙方应根据现场需要，重新选派甲方认可的服务人员。</w:t>
      </w:r>
    </w:p>
    <w:p w14:paraId="228A4618">
      <w:pPr>
        <w:spacing w:after="120" w:line="312" w:lineRule="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第八条质量保证与检验</w:t>
      </w:r>
    </w:p>
    <w:p w14:paraId="11D6EBBA">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8.1乙方应按系列标准要求进行质量管理。</w:t>
      </w:r>
    </w:p>
    <w:p w14:paraId="73C9FFA0">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8.1.1乙方应在履行合同的全过程（从开始供货到最终验收），保证并负责所有供货和服务的质量，即要保证所有这些供货和服务的质量符合合同中有关技术、交货、验收和价格所规定的要求。</w:t>
      </w:r>
    </w:p>
    <w:p w14:paraId="7540B9DB">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8.1.2乙方应建立健全工厂的全面质量保证体系（并取得认证），认真进行产品的质量检查。</w:t>
      </w:r>
    </w:p>
    <w:p w14:paraId="041ADD9A">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8.2工厂检验</w:t>
      </w:r>
    </w:p>
    <w:p w14:paraId="7A787308">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8.2.1工厂检验是质量控制的一个重要组成部分。乙方须严格进行厂内各生产环节的检验和试验。乙方提供的合同设备须签发质量证明、检测报告，并且作为交货时质量证明文件的组成部分。</w:t>
      </w:r>
    </w:p>
    <w:p w14:paraId="0D31DEEF">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8.2.2检验的范围包括原材料和元器件的进厂，部件的生产加工、组装、试验至出厂检验。</w:t>
      </w:r>
    </w:p>
    <w:p w14:paraId="25AD690D">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8.2.3乙方检验的结果要满足提交给甲方技术文件内产品技术参数的要求，如有不符之处或未能达到相应标准要求，乙方有权要求采取处理措施直至满足要求。乙方发生重大质量问题时应将情况及时通知甲方。</w:t>
      </w:r>
    </w:p>
    <w:p w14:paraId="4DF9BAA2">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8.3现场开箱检验</w:t>
      </w:r>
    </w:p>
    <w:p w14:paraId="3F6DAC09">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8.3.1货物到达目的地后，乙方应与甲方一起根据运单和装箱单对货物的包装、外观及件数进行清点检验，如发现有任何不符之处经双方代表确认，属乙方责任的，由乙方处理解决，属甲方原因造成的，由甲方处理解决。</w:t>
      </w:r>
    </w:p>
    <w:p w14:paraId="3C8140B8">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8.3.2当货物抵达甲方指定工地现场后，甲方应尽快开箱检验，检验货物的数量、规格和质量，且应在开箱检查前日前书面通知乙方开箱检验日期。乙方派遣检验人员参加现场检验工作时，甲方应为乙方检验人员提供工作方便。如检验时，乙方人员未按时赴现场，甲方有权自行开箱检验，检验结果和记录对双方同样有效，并作为甲方向乙方提出索赔的有效证据。如甲方未通知乙方自行开箱或每一批设备到达现场日仍不开箱，则视为现场检验合格，由此产生的后果由甲方承担。</w:t>
      </w:r>
    </w:p>
    <w:p w14:paraId="3B68E4D4">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现场检验时，如发现设备由于乙方原因（包括运输）有任何损坏、缺陷、缺少或不符合合同中规定的质量标准和规范时，应做好记录，并由双方代表签字，各执一份，作为甲方向乙方提出修理、更换的依据。如果乙方委托甲方修理损坏的设备，所有修理设备的费用由乙方承担；如果由于甲方原因，造成损坏或缺陷，乙方在接到甲方通知后日内提供或更换相应的部件，但费用由甲方承担。</w:t>
      </w:r>
    </w:p>
    <w:p w14:paraId="08836AC4">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（2）乙方如对上述甲方提出修理、更换的要求有异议，应在接到甲方书面通知后的日内提出，并书面通知甲方，否则上述要求即告成立。</w:t>
      </w:r>
    </w:p>
    <w:p w14:paraId="2A30BC1D">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（3）如双方代表在合同检验中对检验记录不能取得一致意见时，可由双方委托权威的第三方检验机构进行检验。检验结果对双方都有约束力，检验费用由责任方负担。</w:t>
      </w:r>
    </w:p>
    <w:p w14:paraId="33D428E2">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（4）合同双方如对到货设备检验合格并无异议，双方签署《交货验收证书》一式两份，交付乙方一份作为支付交货款的手续单据。</w:t>
      </w:r>
    </w:p>
    <w:p w14:paraId="0BA16CCD">
      <w:pPr>
        <w:spacing w:after="120" w:line="312" w:lineRule="auto"/>
        <w:ind w:firstLine="210" w:firstLineChars="100"/>
        <w:rPr>
          <w:rFonts w:hint="eastAsia" w:ascii="宋体" w:hAnsi="宋体" w:eastAsia="宋体" w:cs="Times New Roman"/>
          <w:color w:val="auto"/>
          <w:kern w:val="0"/>
          <w:szCs w:val="21"/>
        </w:rPr>
      </w:pPr>
      <w:r>
        <w:rPr>
          <w:rFonts w:hint="eastAsia" w:ascii="宋体" w:hAnsi="宋体" w:eastAsia="宋体" w:cs="Times New Roman"/>
          <w:color w:val="auto"/>
          <w:kern w:val="0"/>
          <w:szCs w:val="21"/>
        </w:rPr>
        <w:t>（5）上述第8条第3款（1）（2）（3）（4）（5）项所述的各项检验仅是现场的到货检验。</w:t>
      </w:r>
    </w:p>
    <w:p w14:paraId="720108F5">
      <w:pPr>
        <w:spacing w:after="120" w:line="312" w:lineRule="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第九条安装、调试、试运和设备最终验收</w:t>
      </w:r>
    </w:p>
    <w:p w14:paraId="118810C0">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9.1本合同设备由甲方根据乙方提供的技术资料、图纸及说明书进行安装、调试、运行和维护。整个安装、调试过程须在乙方现场技术服务人员指导下进行。安装、调试过程中，若甲方未按乙方的技术资料规定和现场技术人员指导、未经乙方现场技术服务人员签字确认而出现问题，甲方自行负责（设备问题除外）；若甲方按乙方技术资料规定和现场技术服务人员的指导、乙方现场技术服务人员签字确认而出现问题，则乙方承担责任。</w:t>
      </w:r>
    </w:p>
    <w:p w14:paraId="7ED55133">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9.2合同设备安装完毕后，乙方应派人参加调试、试运进行指导，并应尽快解决调试中的问题。</w:t>
      </w:r>
    </w:p>
    <w:p w14:paraId="3EBB0881">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9.3设备调试最终验收的时间为全部设备运行稳定，达到连续稳定运行日。</w:t>
      </w:r>
    </w:p>
    <w:p w14:paraId="516D683B">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9.4设备调试最终验收结束后，合同内项下的设备达到本合同所规定的各项性能保证值指标后，甲方应在日内签署由乙方会签的本合同《设备最终验收证书》一式份，双方各执份。</w:t>
      </w:r>
    </w:p>
    <w:p w14:paraId="5C8731F4">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9.5甲方出具的《设备最终验收证书》只是证明乙方所提供的合同设备性能参数截至出具的设备最终验收证明时可以按合同要求予以接受，但不能视为乙方对合同设备中存在的可能引起合同设备损坏的潜在缺陷所应负的责任的解除。潜在缺陷指设备的隐患在正常情况下不能在制造过程中被发现，乙方对纠正潜在缺陷所应负的责任，当发现这类潜在缺陷时乙方应进行修理。</w:t>
      </w:r>
    </w:p>
    <w:p w14:paraId="70F1E91B">
      <w:pPr>
        <w:spacing w:after="120" w:line="312" w:lineRule="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第十条保证期</w:t>
      </w:r>
    </w:p>
    <w:p w14:paraId="72E53865">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10.1保证期是指签发《设备最终验收证书》之日起月。</w:t>
      </w:r>
    </w:p>
    <w:p w14:paraId="6308A45A">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10.2乙方保证其供应的本合同设备是全新的，技术水平是先进的、成熟的、质量优良的、设备的选型均符合安全可靠、经济运行和易于维护的要求。乙方需保障达到合同设备的设计、安装、调试、运行和维修的要求。</w:t>
      </w:r>
    </w:p>
    <w:p w14:paraId="4DEE16BA">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10.3设备在运行保证期间，如果发生设备故障，乙方应立即无偿维护、修理。如需更换部件，乙方应负担由此产生的现场维护、修理、更换的一切费用。</w:t>
      </w:r>
    </w:p>
    <w:p w14:paraId="26E9C8C6">
      <w:pPr>
        <w:spacing w:after="120" w:line="312" w:lineRule="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10.4由于甲方未按乙方所提供的技术资料、图纸说明和乙方现场技术服务人员的指导而造成的设备损坏，由甲方负责修理、更换；但乙方有义务尽快提供所需更换的部件。对于甲方要求的紧急部件，乙方应安排最快的方式运输，所有费用均由甲方负担。</w:t>
      </w:r>
    </w:p>
    <w:p w14:paraId="3DC9EBA6">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10.5超出保证期限后乙方提供的服务为有偿，由甲方承担零部件成本费及乙方服务人员的交通、食宿费用。</w:t>
      </w:r>
    </w:p>
    <w:p w14:paraId="14C6BA3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b/>
          <w:color w:val="auto"/>
          <w:kern w:val="0"/>
          <w:szCs w:val="21"/>
        </w:rPr>
      </w:pPr>
      <w:r>
        <w:rPr>
          <w:rFonts w:hint="eastAsia" w:ascii="宋体" w:hAnsi="宋体" w:eastAsia="宋体" w:cs="Times New Roman"/>
          <w:color w:val="auto"/>
          <w:kern w:val="0"/>
          <w:szCs w:val="21"/>
        </w:rPr>
        <w:t>10.6乙方专业人员应提供小时之内的电话、邮件、传真的服务响应。乙方未能及时相应的，甲方可以自行负责修理，支出的费用由甲方承担。</w:t>
      </w:r>
    </w:p>
    <w:p w14:paraId="22A58798">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第十一条违约责任</w:t>
      </w:r>
    </w:p>
    <w:p w14:paraId="028DCF7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11.1乙方未能按本合同的规定时间交货的，迟交天的，每天违约金金额为迟交货物金额的％；迟交天以上的额，甲方有权解除同，要求乙方退还已支付的费用并要求其承担违约金元并赔偿实际损失。</w:t>
      </w:r>
    </w:p>
    <w:p w14:paraId="79D37DFA">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b/>
          <w:color w:val="auto"/>
          <w:kern w:val="0"/>
          <w:szCs w:val="21"/>
        </w:rPr>
      </w:pPr>
      <w:r>
        <w:rPr>
          <w:rFonts w:hint="eastAsia" w:ascii="宋体" w:hAnsi="宋体" w:eastAsia="宋体" w:cs="Times New Roman"/>
          <w:color w:val="auto"/>
          <w:kern w:val="0"/>
          <w:szCs w:val="21"/>
        </w:rPr>
        <w:t>11.2甲方交货的质量、数量等违反本合同约定，甲方有权解除同，要求乙方退还已支付的费用并要求其承担违约金元并赔偿实际损失。</w:t>
      </w:r>
    </w:p>
    <w:p w14:paraId="710D258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第十二条税费</w:t>
      </w:r>
    </w:p>
    <w:p w14:paraId="0AFB07E6">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12.1根据中华人民共和国有关税务的法律、法规和规定，乙方应该交纳的与本合同有关的税费。</w:t>
      </w:r>
    </w:p>
    <w:p w14:paraId="02BF94F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b/>
          <w:color w:val="auto"/>
          <w:kern w:val="0"/>
          <w:szCs w:val="21"/>
        </w:rPr>
      </w:pPr>
      <w:r>
        <w:rPr>
          <w:rFonts w:hint="eastAsia" w:ascii="宋体" w:hAnsi="宋体" w:eastAsia="宋体" w:cs="Times New Roman"/>
          <w:color w:val="auto"/>
          <w:kern w:val="0"/>
          <w:szCs w:val="21"/>
        </w:rPr>
        <w:t>12.2本合同价格为含税价。乙方提供的设备、技术资料、服务（包括运费）、进口设备或部件等所有税费（包括保险费）已全部包含在合同价格内，由乙方承担。</w:t>
      </w:r>
    </w:p>
    <w:p w14:paraId="1261A759">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第十三条分包</w:t>
      </w:r>
    </w:p>
    <w:p w14:paraId="71FE9157">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13.1乙方未经甲方同意不得将本合同范围内的设备或部件进行分包（包括主要部件）。</w:t>
      </w:r>
    </w:p>
    <w:p w14:paraId="27191F3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13.2乙方对所有设备、部件承担本合同项下的全部责任。</w:t>
      </w:r>
    </w:p>
    <w:p w14:paraId="4EF4D5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第十四条合同的变更、修改、中止和终止</w:t>
      </w:r>
    </w:p>
    <w:p w14:paraId="0D0E7F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14.1内容（包括附件）作任何单方的修改。但任何一方均可以对合同内容以书面形式提出变更、修改、取消或补充的建议。该项建议应以书面形式通知对方并经双方签字确认。如果该项修改改变了合同价格和交货进度，应在收到上述修改通知书后的个工作日内，提出影响合同价格和交货进度的详细说明。双方同意后经法定代表人或委托代理人（须经法定代表人书面授权委托）签字后方能生效。</w:t>
      </w:r>
    </w:p>
    <w:p w14:paraId="157A44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14.2在合同执行过程中，若因国家政策调整而引起本合同无法正常执行时，乙方或甲方可以向对方提出中止执行合同或修改合同有关条款的建议，与之有关的事宜双方协商办理。</w:t>
      </w:r>
    </w:p>
    <w:p w14:paraId="2AD880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14.3如果乙方破产、产权变换（被兼并、合并、解体、注销）、无偿还能力或为了债权人的利益在破产管理情形下经营业务，甲方有权立即书面通知乙方、破产清算管理人或合同归属人终止合同，或向该破产管理人、清算人或该合同归属人提供选择，视其给出合理忠实履行合同的保证情况，执行经过甲方同意的一部分合同。</w:t>
      </w:r>
    </w:p>
    <w:p w14:paraId="3A04F7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第十五条不可抗力</w:t>
      </w:r>
    </w:p>
    <w:p w14:paraId="2400BB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15.1不可抗力是指严重的自然灾害和灾难（如台风、洪水、地震、火灾和爆炸等）、战争、叛乱、动乱等。合同双方中的任何一方，由于不可抗力事件而影响合同义务的履行时，则延迟履行合同义务的期限相当于不可抗力事件影响的时间，但是不能因为不可抗力的延迟而调整合同价格。</w:t>
      </w:r>
    </w:p>
    <w:p w14:paraId="105EF8D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15.2受到不可抗力影响的一方应在不可抗力事故发生后，尽快将所发生的不可抗力事件情况以传真或</w:t>
      </w:r>
      <w:r>
        <w:rPr>
          <w:rFonts w:hint="eastAsia" w:ascii="宋体" w:hAnsi="宋体" w:eastAsia="宋体" w:cs="Times New Roman"/>
          <w:color w:val="auto"/>
          <w:kern w:val="0"/>
          <w:szCs w:val="21"/>
          <w:lang w:val="en-US" w:eastAsia="zh-CN"/>
        </w:rPr>
        <w:t>邮件</w:t>
      </w:r>
      <w:r>
        <w:rPr>
          <w:rFonts w:hint="eastAsia" w:ascii="宋体" w:hAnsi="宋体" w:eastAsia="宋体" w:cs="Times New Roman"/>
          <w:color w:val="auto"/>
          <w:kern w:val="0"/>
          <w:szCs w:val="21"/>
        </w:rPr>
        <w:t>通知另一方，并在日内将有关当局出具的证明文件提交给另一方审阅确认。受影响的一方同时应尽量设法缩小这种影响和由此而引起的延误，一旦不可抗力的影响消除后，应立即将此情况通知对方。</w:t>
      </w:r>
    </w:p>
    <w:p w14:paraId="10384A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b/>
          <w:color w:val="auto"/>
          <w:kern w:val="0"/>
          <w:szCs w:val="21"/>
        </w:rPr>
      </w:pPr>
      <w:r>
        <w:rPr>
          <w:rFonts w:hint="eastAsia" w:ascii="宋体" w:hAnsi="宋体" w:eastAsia="宋体" w:cs="Times New Roman"/>
          <w:color w:val="auto"/>
          <w:kern w:val="0"/>
          <w:szCs w:val="21"/>
        </w:rPr>
        <w:t>15.3如双方对不可抗力事件的影响估计将延续到120天以上时，双方应通过友好协商解决本合同的执行问题（包括交货、安装、运试行和验收等问题）。</w:t>
      </w:r>
    </w:p>
    <w:p w14:paraId="6E6945A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第十六条合同争议的解决</w:t>
      </w:r>
    </w:p>
    <w:p w14:paraId="47F06A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16.1凡与本合同有关而引起的一切争议，双方首先通过友好协商解决，双方不愿协商、调解解决或者协商、调解不成的，双方商定，采用以下第（一）种方式解决。</w:t>
      </w:r>
    </w:p>
    <w:p w14:paraId="09B3E304">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（一）因本合同所发生任何争议，申请舟山仲裁委员会仲裁；</w:t>
      </w:r>
    </w:p>
    <w:p w14:paraId="71697765">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（二）按司法程序解决。</w:t>
      </w:r>
    </w:p>
    <w:p w14:paraId="74205D9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16.2上述过程发生的费用除法律法规另有规定外，应由败诉方承担。</w:t>
      </w:r>
    </w:p>
    <w:p w14:paraId="4AC825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第十七条合同生效</w:t>
      </w:r>
    </w:p>
    <w:p w14:paraId="350AF2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本合同生效需满足下列条件：</w:t>
      </w:r>
    </w:p>
    <w:p w14:paraId="665A6F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17.1本合同经双方加盖公章。</w:t>
      </w:r>
    </w:p>
    <w:p w14:paraId="08B1DBC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17.2本合同有效期：从合同生效之日起到设备保证期结束并货款两清之日止。</w:t>
      </w:r>
    </w:p>
    <w:p w14:paraId="022C966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b/>
          <w:color w:val="auto"/>
          <w:kern w:val="0"/>
          <w:szCs w:val="21"/>
        </w:rPr>
      </w:pPr>
      <w:r>
        <w:rPr>
          <w:rFonts w:hint="eastAsia" w:ascii="宋体" w:hAnsi="宋体" w:eastAsia="宋体" w:cs="Times New Roman"/>
          <w:color w:val="auto"/>
          <w:kern w:val="0"/>
          <w:szCs w:val="21"/>
        </w:rPr>
        <w:t>17.3如上述条件无法满足致使本合同失效，本合同作为保密文本双方应予以销毁。</w:t>
      </w:r>
    </w:p>
    <w:p w14:paraId="6E4EF5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b/>
          <w:color w:val="auto"/>
          <w:kern w:val="0"/>
          <w:szCs w:val="21"/>
        </w:rPr>
      </w:pPr>
      <w:r>
        <w:rPr>
          <w:rFonts w:hint="eastAsia" w:ascii="宋体" w:hAnsi="宋体" w:eastAsia="宋体" w:cs="Times New Roman"/>
          <w:b/>
          <w:color w:val="auto"/>
          <w:kern w:val="0"/>
          <w:szCs w:val="21"/>
        </w:rPr>
        <w:t>第十八条其他条款</w:t>
      </w:r>
    </w:p>
    <w:p w14:paraId="6214A4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18.1本合同适用法律为中华人民共和国法律。</w:t>
      </w:r>
    </w:p>
    <w:p w14:paraId="7C2D27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18.2本合同所包括的附件，是本合同不可分割的一部分，具有同等的法律效力。</w:t>
      </w:r>
    </w:p>
    <w:p w14:paraId="7568D2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18.3合同双方承担的合同义务都不得超过合同的规定，合同任何一方也不得对另一方做出有约束力的声明、陈述、许诺或行动。</w:t>
      </w:r>
    </w:p>
    <w:p w14:paraId="33DC1C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18.4本合同列明了双方的责任、义务、补偿和补救条款。任何一方不承担本合同规定以外的责任、义务、补偿和补救。</w:t>
      </w:r>
    </w:p>
    <w:p w14:paraId="2A844F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18.5双方任何一方未取得另一方事先同意前不得将本合同项下的部分或全部权利或义务转让给第三方。</w:t>
      </w:r>
    </w:p>
    <w:p w14:paraId="2E933F1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18.6本合同项下双方相互提供的文件、资料，双方除为履行合同的目的外，均不得提供给予“合同设备”和相互工程无关的第三方。</w:t>
      </w:r>
    </w:p>
    <w:p w14:paraId="1C057E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18.7双方授权代表的名称和通讯地址在合同生效的同时通知对方。</w:t>
      </w:r>
    </w:p>
    <w:p w14:paraId="79B809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18.8本合同壹式叁份，甲、乙双方及代理机构各执壹份，具有同等的法律效力。</w:t>
      </w:r>
    </w:p>
    <w:p w14:paraId="6C051E54">
      <w:pPr>
        <w:snapToGrid w:val="0"/>
        <w:spacing w:line="460" w:lineRule="atLeast"/>
        <w:rPr>
          <w:rFonts w:hint="eastAsia" w:ascii="宋体" w:hAnsi="宋体" w:eastAsia="宋体" w:cs="Times New Roman"/>
          <w:color w:val="auto"/>
          <w:szCs w:val="21"/>
        </w:rPr>
      </w:pPr>
      <w:r>
        <w:rPr>
          <w:rFonts w:hint="eastAsia" w:ascii="宋体" w:hAnsi="宋体" w:eastAsia="宋体" w:cs="Times New Roman"/>
          <w:color w:val="auto"/>
          <w:szCs w:val="21"/>
        </w:rPr>
        <w:t>甲方：（盖章）</w:t>
      </w:r>
    </w:p>
    <w:p w14:paraId="59EE5B4C">
      <w:pPr>
        <w:snapToGrid w:val="0"/>
        <w:spacing w:line="460" w:lineRule="atLeast"/>
        <w:rPr>
          <w:rFonts w:hint="eastAsia" w:ascii="宋体" w:hAnsi="宋体" w:eastAsia="宋体" w:cs="Times New Roman"/>
          <w:color w:val="auto"/>
          <w:szCs w:val="21"/>
        </w:rPr>
      </w:pPr>
      <w:r>
        <w:rPr>
          <w:rFonts w:hint="eastAsia" w:ascii="宋体" w:hAnsi="宋体" w:eastAsia="宋体" w:cs="Times New Roman"/>
          <w:color w:val="auto"/>
          <w:szCs w:val="21"/>
        </w:rPr>
        <w:t>日期：</w:t>
      </w:r>
    </w:p>
    <w:p w14:paraId="1D2240B7">
      <w:pPr>
        <w:snapToGrid w:val="0"/>
        <w:spacing w:line="460" w:lineRule="atLeast"/>
        <w:rPr>
          <w:rFonts w:hint="eastAsia" w:ascii="宋体" w:hAnsi="宋体" w:eastAsia="宋体" w:cs="Times New Roman"/>
          <w:color w:val="auto"/>
          <w:szCs w:val="21"/>
        </w:rPr>
      </w:pPr>
      <w:r>
        <w:rPr>
          <w:rFonts w:hint="eastAsia" w:ascii="宋体" w:hAnsi="宋体" w:eastAsia="宋体" w:cs="Times New Roman"/>
          <w:color w:val="auto"/>
          <w:szCs w:val="21"/>
        </w:rPr>
        <w:t>乙方：（盖章）</w:t>
      </w:r>
    </w:p>
    <w:p w14:paraId="46378779">
      <w:pPr>
        <w:snapToGrid w:val="0"/>
        <w:spacing w:line="460" w:lineRule="atLeast"/>
        <w:rPr>
          <w:rFonts w:hint="eastAsia" w:ascii="宋体" w:hAnsi="宋体" w:eastAsia="宋体" w:cs="Times New Roman"/>
          <w:color w:val="auto"/>
          <w:szCs w:val="21"/>
        </w:rPr>
      </w:pPr>
      <w:r>
        <w:rPr>
          <w:rFonts w:hint="eastAsia" w:ascii="宋体" w:hAnsi="宋体" w:eastAsia="宋体" w:cs="Times New Roman"/>
          <w:color w:val="auto"/>
          <w:szCs w:val="21"/>
        </w:rPr>
        <w:t>日期：</w:t>
      </w:r>
    </w:p>
    <w:p w14:paraId="422A456B">
      <w:pPr>
        <w:snapToGrid w:val="0"/>
        <w:spacing w:line="260" w:lineRule="exact"/>
        <w:rPr>
          <w:rFonts w:ascii="宋体" w:hAnsi="宋体" w:eastAsia="宋体" w:cs="Times New Roman"/>
          <w:color w:val="auto"/>
          <w:szCs w:val="21"/>
        </w:rPr>
      </w:pPr>
      <w:bookmarkStart w:id="22" w:name="_Hlk118299836"/>
    </w:p>
    <w:p w14:paraId="6268A866">
      <w:pPr>
        <w:snapToGrid w:val="0"/>
        <w:spacing w:line="260" w:lineRule="exact"/>
        <w:rPr>
          <w:rFonts w:ascii="宋体" w:hAnsi="宋体" w:eastAsia="宋体" w:cs="Times New Roman"/>
          <w:color w:val="auto"/>
          <w:szCs w:val="21"/>
        </w:rPr>
      </w:pPr>
    </w:p>
    <w:p w14:paraId="124FC30F">
      <w:pPr>
        <w:snapToGrid w:val="0"/>
        <w:spacing w:line="260" w:lineRule="exact"/>
        <w:rPr>
          <w:rFonts w:ascii="宋体" w:hAnsi="宋体" w:eastAsia="宋体" w:cs="Times New Roman"/>
          <w:color w:val="auto"/>
          <w:szCs w:val="21"/>
        </w:rPr>
      </w:pPr>
    </w:p>
    <w:p w14:paraId="6B119D75">
      <w:pPr>
        <w:snapToGrid w:val="0"/>
        <w:spacing w:line="260" w:lineRule="exact"/>
        <w:rPr>
          <w:rFonts w:ascii="宋体" w:hAnsi="宋体" w:eastAsia="宋体" w:cs="Times New Roman"/>
          <w:color w:val="auto"/>
          <w:szCs w:val="21"/>
        </w:rPr>
      </w:pPr>
    </w:p>
    <w:p w14:paraId="7E746D23">
      <w:pPr>
        <w:snapToGrid w:val="0"/>
        <w:spacing w:line="260" w:lineRule="exact"/>
        <w:rPr>
          <w:rFonts w:hint="eastAsia" w:ascii="宋体" w:hAnsi="宋体" w:eastAsia="宋体" w:cs="Times New Roman"/>
          <w:color w:val="auto"/>
          <w:szCs w:val="21"/>
        </w:rPr>
      </w:pPr>
      <w:r>
        <w:rPr>
          <w:rFonts w:ascii="宋体" w:hAnsi="宋体" w:eastAsia="宋体" w:cs="Times New Roman"/>
          <w:color w:val="auto"/>
          <w:szCs w:val="21"/>
        </w:rPr>
        <w:t>信贷政策</w:t>
      </w:r>
    </w:p>
    <w:p w14:paraId="6D3D48E8">
      <w:pPr>
        <w:spacing w:line="260" w:lineRule="exact"/>
        <w:ind w:firstLine="420" w:firstLineChars="200"/>
        <w:rPr>
          <w:rFonts w:hint="eastAsia" w:ascii="宋体" w:hAnsi="宋体" w:eastAsia="宋体" w:cs="Times New Roman"/>
          <w:color w:val="auto"/>
          <w:szCs w:val="21"/>
        </w:rPr>
      </w:pPr>
      <w:r>
        <w:rPr>
          <w:rFonts w:ascii="宋体" w:hAnsi="宋体" w:eastAsia="宋体" w:cs="Times New Roman"/>
          <w:color w:val="auto"/>
          <w:szCs w:val="21"/>
        </w:rPr>
        <w:t>1．为有效破解当前中小微企业面临的“融资难、融资贵”困局，充分发挥好政府采购扶持小微企业发展的政策功能，属于舟山市内的各中小企业可凭政府采购项目中标通知书等材料向舟山市政府采购信用融资合作银行申请相关融资产品，有关的合作银行详见下表：</w:t>
      </w:r>
    </w:p>
    <w:p w14:paraId="001F5B20">
      <w:pPr>
        <w:spacing w:line="240" w:lineRule="exact"/>
        <w:contextualSpacing/>
        <w:rPr>
          <w:rFonts w:hint="eastAsia" w:ascii="宋体" w:hAnsi="宋体" w:eastAsia="宋体" w:cs="Times New Roman"/>
          <w:color w:val="auto"/>
          <w:sz w:val="24"/>
          <w:szCs w:val="20"/>
        </w:rPr>
      </w:pPr>
    </w:p>
    <w:tbl>
      <w:tblPr>
        <w:tblStyle w:val="61"/>
        <w:tblW w:w="95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3975"/>
        <w:gridCol w:w="2220"/>
        <w:gridCol w:w="1908"/>
      </w:tblGrid>
      <w:tr w14:paraId="506BD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9563" w:type="dxa"/>
            <w:gridSpan w:val="4"/>
            <w:vAlign w:val="center"/>
          </w:tcPr>
          <w:p w14:paraId="1798BEFE">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舟山市政府采购信用融资合作银行</w:t>
            </w:r>
          </w:p>
        </w:tc>
      </w:tr>
      <w:tr w14:paraId="0DF2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460" w:type="dxa"/>
            <w:vAlign w:val="center"/>
          </w:tcPr>
          <w:p w14:paraId="5537ADB6">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银行名称</w:t>
            </w:r>
          </w:p>
        </w:tc>
        <w:tc>
          <w:tcPr>
            <w:tcW w:w="3975" w:type="dxa"/>
            <w:vAlign w:val="center"/>
          </w:tcPr>
          <w:p w14:paraId="1CC75E73">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各银行介绍的产品特点</w:t>
            </w:r>
          </w:p>
        </w:tc>
        <w:tc>
          <w:tcPr>
            <w:tcW w:w="2220" w:type="dxa"/>
            <w:vAlign w:val="center"/>
          </w:tcPr>
          <w:p w14:paraId="62A0FBF0">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经办人</w:t>
            </w:r>
          </w:p>
        </w:tc>
        <w:tc>
          <w:tcPr>
            <w:tcW w:w="1908" w:type="dxa"/>
            <w:vAlign w:val="center"/>
          </w:tcPr>
          <w:p w14:paraId="37315794">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联系方式</w:t>
            </w:r>
          </w:p>
        </w:tc>
      </w:tr>
      <w:tr w14:paraId="7C3C1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1460" w:type="dxa"/>
            <w:vAlign w:val="center"/>
          </w:tcPr>
          <w:p w14:paraId="556B106E">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中国工商银行股份有限公司舟山分行</w:t>
            </w:r>
          </w:p>
        </w:tc>
        <w:tc>
          <w:tcPr>
            <w:tcW w:w="3975" w:type="dxa"/>
          </w:tcPr>
          <w:p w14:paraId="02D6648C">
            <w:pPr>
              <w:numPr>
                <w:ilvl w:val="0"/>
                <w:numId w:val="12"/>
              </w:numPr>
              <w:spacing w:line="240" w:lineRule="exact"/>
              <w:contextualSpacing/>
              <w:rPr>
                <w:rFonts w:hint="eastAsia" w:ascii="宋体" w:hAnsi="宋体" w:eastAsia="宋体" w:cs="仿宋_GB2312"/>
                <w:color w:val="auto"/>
                <w:szCs w:val="21"/>
              </w:rPr>
            </w:pPr>
            <w:r>
              <w:rPr>
                <w:rFonts w:hint="eastAsia" w:ascii="宋体" w:hAnsi="宋体" w:eastAsia="宋体" w:cs="仿宋_GB2312"/>
                <w:color w:val="auto"/>
                <w:szCs w:val="21"/>
              </w:rPr>
              <w:t>融资额度高，融资金额最高可至订单金额70%，线上申请，随借随还。2.融资利率低，最低可至当期LPR利率。</w:t>
            </w:r>
          </w:p>
          <w:p w14:paraId="59516C8D">
            <w:pPr>
              <w:spacing w:line="240" w:lineRule="exact"/>
              <w:contextualSpacing/>
              <w:rPr>
                <w:rFonts w:hint="eastAsia" w:ascii="宋体" w:hAnsi="宋体" w:eastAsia="宋体" w:cs="Times New Roman"/>
                <w:color w:val="auto"/>
                <w:szCs w:val="21"/>
              </w:rPr>
            </w:pPr>
            <w:r>
              <w:rPr>
                <w:rFonts w:hint="eastAsia" w:ascii="宋体" w:hAnsi="宋体" w:eastAsia="宋体" w:cs="仿宋_GB2312"/>
                <w:color w:val="auto"/>
                <w:szCs w:val="21"/>
              </w:rPr>
              <w:t>3.担保方式灵活，以政府采购合同进行融资，无需另外抵押。</w:t>
            </w:r>
          </w:p>
        </w:tc>
        <w:tc>
          <w:tcPr>
            <w:tcW w:w="2220" w:type="dxa"/>
            <w:vAlign w:val="center"/>
          </w:tcPr>
          <w:p w14:paraId="3E8D9172">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柳超颖</w:t>
            </w:r>
          </w:p>
        </w:tc>
        <w:tc>
          <w:tcPr>
            <w:tcW w:w="1908" w:type="dxa"/>
            <w:vAlign w:val="center"/>
          </w:tcPr>
          <w:p w14:paraId="4DD8091A">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0580-2166242, 15858076468</w:t>
            </w:r>
          </w:p>
        </w:tc>
      </w:tr>
      <w:tr w14:paraId="45B02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460" w:type="dxa"/>
            <w:vAlign w:val="center"/>
          </w:tcPr>
          <w:p w14:paraId="307F6CD7">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中国建设银行股份有限公司舟山分行</w:t>
            </w:r>
          </w:p>
        </w:tc>
        <w:tc>
          <w:tcPr>
            <w:tcW w:w="3975" w:type="dxa"/>
          </w:tcPr>
          <w:p w14:paraId="51A59628">
            <w:pPr>
              <w:numPr>
                <w:ilvl w:val="0"/>
                <w:numId w:val="13"/>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快速便捷：全流程线上操作，通过浙江省政府采购网数据审核信用额度，建行供应链平台快速放款。</w:t>
            </w:r>
          </w:p>
          <w:p w14:paraId="1204BD77">
            <w:pPr>
              <w:numPr>
                <w:ilvl w:val="0"/>
                <w:numId w:val="13"/>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申请额度高：单笔融资额度最高可达政府采购合同金额的90%，单户额度最高可达3000万。</w:t>
            </w:r>
          </w:p>
          <w:p w14:paraId="1435DBC2">
            <w:pPr>
              <w:numPr>
                <w:ilvl w:val="0"/>
                <w:numId w:val="13"/>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无需额外抵押：以浙江省政府采购网备案公示的政府采购合同进行融资，无需额外抵押担保。</w:t>
            </w:r>
          </w:p>
          <w:p w14:paraId="3271E5DB">
            <w:pPr>
              <w:numPr>
                <w:ilvl w:val="0"/>
                <w:numId w:val="13"/>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利率优惠：给予流动资金贷款最优惠利率。</w:t>
            </w:r>
          </w:p>
        </w:tc>
        <w:tc>
          <w:tcPr>
            <w:tcW w:w="2220" w:type="dxa"/>
            <w:vAlign w:val="center"/>
          </w:tcPr>
          <w:p w14:paraId="063330AA">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普陀片区：蔡妮妮</w:t>
            </w:r>
          </w:p>
          <w:p w14:paraId="6967D472">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定海片区：杨莹</w:t>
            </w:r>
          </w:p>
          <w:p w14:paraId="2EE33961">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自贸区片区：方晓</w:t>
            </w:r>
          </w:p>
        </w:tc>
        <w:tc>
          <w:tcPr>
            <w:tcW w:w="1908" w:type="dxa"/>
            <w:vAlign w:val="center"/>
          </w:tcPr>
          <w:p w14:paraId="28D254A7">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普陀片区：13957201791</w:t>
            </w:r>
          </w:p>
          <w:p w14:paraId="4D005F72">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定海片区：13655803997</w:t>
            </w:r>
          </w:p>
          <w:p w14:paraId="357827CF">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自贸区片区：13587086324</w:t>
            </w:r>
          </w:p>
        </w:tc>
      </w:tr>
      <w:tr w14:paraId="4FE28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vAlign w:val="center"/>
          </w:tcPr>
          <w:p w14:paraId="4A3BB53D">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杭州银行股份有限公司舟山市分行</w:t>
            </w:r>
          </w:p>
        </w:tc>
        <w:tc>
          <w:tcPr>
            <w:tcW w:w="3975" w:type="dxa"/>
          </w:tcPr>
          <w:p w14:paraId="48AF0611">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云采贷”是杭州银行为政府采购供应商提供的纯信用贷款产品。客户申请、签约、放款全流程线上化，平台注册入库并取得采购合同即可申请，融资比例最高达采购订单的80%，单户、单笔最高可达3000万，最长期限一年。</w:t>
            </w:r>
          </w:p>
        </w:tc>
        <w:tc>
          <w:tcPr>
            <w:tcW w:w="2220" w:type="dxa"/>
            <w:vAlign w:val="center"/>
          </w:tcPr>
          <w:p w14:paraId="21A6E4F6">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方经理</w:t>
            </w:r>
          </w:p>
        </w:tc>
        <w:tc>
          <w:tcPr>
            <w:tcW w:w="1908" w:type="dxa"/>
            <w:vAlign w:val="center"/>
          </w:tcPr>
          <w:p w14:paraId="1BB51608">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0580-2185201，18205800451</w:t>
            </w:r>
          </w:p>
        </w:tc>
      </w:tr>
      <w:tr w14:paraId="5F650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vAlign w:val="center"/>
          </w:tcPr>
          <w:p w14:paraId="66E60331">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招商银行股份有限公司浙江自贸试验区舟山分行</w:t>
            </w:r>
          </w:p>
        </w:tc>
        <w:tc>
          <w:tcPr>
            <w:tcW w:w="3975" w:type="dxa"/>
          </w:tcPr>
          <w:p w14:paraId="01366A6A">
            <w:pPr>
              <w:spacing w:line="240" w:lineRule="exact"/>
              <w:rPr>
                <w:rFonts w:hint="eastAsia" w:ascii="宋体" w:hAnsi="宋体" w:eastAsia="宋体" w:cs="Times New Roman"/>
                <w:color w:val="auto"/>
                <w:szCs w:val="21"/>
              </w:rPr>
            </w:pPr>
            <w:r>
              <w:rPr>
                <w:rFonts w:hint="eastAsia" w:ascii="宋体" w:hAnsi="宋体" w:eastAsia="宋体" w:cs="仿宋_GB2312"/>
                <w:color w:val="auto"/>
                <w:szCs w:val="21"/>
              </w:rPr>
              <w:t>小企业政采贷是招商银行为政府采购成交供应商提供的用于履行政府采购合同的专属融资产品。优势：一、额度高。根据企业上一年或近一年获得政府采购成交及成交通知的一定比例给予额度，最高可达3000万元，单笔提款金额最高至合同金额的90%。二、操作简便、模式丰富。客户通过我行一网通等渠道在线申请。支持线上用款，按日计息，随借随还，利率最低至当期LPR。三、担保方式灵活。实际控制人夫妇担保＋融资项下应收账款质押作为辅助，无需抵押，一次性签署合作协议。</w:t>
            </w:r>
          </w:p>
        </w:tc>
        <w:tc>
          <w:tcPr>
            <w:tcW w:w="2220" w:type="dxa"/>
            <w:vAlign w:val="center"/>
          </w:tcPr>
          <w:p w14:paraId="0C039753">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李玲</w:t>
            </w:r>
          </w:p>
        </w:tc>
        <w:tc>
          <w:tcPr>
            <w:tcW w:w="1908" w:type="dxa"/>
            <w:vAlign w:val="center"/>
          </w:tcPr>
          <w:p w14:paraId="52384FD8">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0580-2061710，13957227971</w:t>
            </w:r>
          </w:p>
        </w:tc>
      </w:tr>
      <w:tr w14:paraId="43CAA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460" w:type="dxa"/>
            <w:vAlign w:val="center"/>
          </w:tcPr>
          <w:p w14:paraId="4C9E7A14">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温州银行股份有限公司舟山市分行</w:t>
            </w:r>
          </w:p>
        </w:tc>
        <w:tc>
          <w:tcPr>
            <w:tcW w:w="3975" w:type="dxa"/>
          </w:tcPr>
          <w:p w14:paraId="19847194">
            <w:pPr>
              <w:numPr>
                <w:ilvl w:val="0"/>
                <w:numId w:val="14"/>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单户授信敞口最高不超过1000万元，且最高额度核定一般不超过借款人（含实际控制人控制的其他经营实体）最近13个月合计有效中标合同金额的70%。</w:t>
            </w:r>
          </w:p>
          <w:p w14:paraId="21CD6A0D">
            <w:pPr>
              <w:numPr>
                <w:ilvl w:val="0"/>
                <w:numId w:val="14"/>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单笔借款额度最高不超过1000万元，单笔业务授信额度不超过“政采云平台”提供的中标通知书承载的中标金额或本次申请授信提供的采购合同金额的80%，且用信金额不超过采购合同未付金额的80%。</w:t>
            </w:r>
          </w:p>
          <w:p w14:paraId="52909471">
            <w:pPr>
              <w:numPr>
                <w:ilvl w:val="0"/>
                <w:numId w:val="14"/>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借款人中标采购人自行采购项目并向我行发起授信申请的，单笔业务授信敞口不超500万元，且不超过借款人中标通知书承载的中标金额或本次申请授信提供的采购合同的80%。</w:t>
            </w:r>
          </w:p>
          <w:p w14:paraId="41CEF59B">
            <w:pPr>
              <w:numPr>
                <w:ilvl w:val="0"/>
                <w:numId w:val="14"/>
              </w:num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符合我行采购人资质的，且负债率不超75%，配合应收账款质押登记确认的，并可出具确认函，单笔借款额度可按不超过采购合同的90%办理。</w:t>
            </w:r>
          </w:p>
        </w:tc>
        <w:tc>
          <w:tcPr>
            <w:tcW w:w="2220" w:type="dxa"/>
            <w:vAlign w:val="center"/>
          </w:tcPr>
          <w:p w14:paraId="0E3B1B02">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郑贤栋</w:t>
            </w:r>
          </w:p>
        </w:tc>
        <w:tc>
          <w:tcPr>
            <w:tcW w:w="1908" w:type="dxa"/>
            <w:vAlign w:val="center"/>
          </w:tcPr>
          <w:p w14:paraId="596A8176">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058—8866086</w:t>
            </w:r>
          </w:p>
        </w:tc>
      </w:tr>
      <w:tr w14:paraId="4C138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vAlign w:val="center"/>
          </w:tcPr>
          <w:p w14:paraId="0F58A08D">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交通银行股份有限公司舟山分行</w:t>
            </w:r>
          </w:p>
        </w:tc>
        <w:tc>
          <w:tcPr>
            <w:tcW w:w="3975" w:type="dxa"/>
          </w:tcPr>
          <w:p w14:paraId="7E0D807A">
            <w:pPr>
              <w:spacing w:line="240" w:lineRule="exact"/>
              <w:contextualSpacing/>
              <w:rPr>
                <w:rFonts w:hint="eastAsia" w:ascii="宋体" w:hAnsi="宋体" w:eastAsia="宋体" w:cs="Times New Roman"/>
                <w:color w:val="auto"/>
                <w:szCs w:val="21"/>
              </w:rPr>
            </w:pPr>
            <w:r>
              <w:rPr>
                <w:rFonts w:hint="eastAsia" w:ascii="宋体" w:hAnsi="宋体" w:eastAsia="宋体" w:cs="仿宋_GB2312"/>
                <w:color w:val="auto"/>
                <w:szCs w:val="21"/>
              </w:rPr>
              <w:t>交通银行政采贷，线上版本最长期限1年，融资金额一般不超过1000万；线下版本期限最长两年，额度最高2,000万，单笔提款金额最高至采购合同金额的70%。担保方式为信用（附加该笔业务项下未来应收账款质押、实际控制人及配偶个人保证），随借随还，利率最低至当期L</w:t>
            </w:r>
            <w:r>
              <w:rPr>
                <w:rFonts w:hint="eastAsia" w:ascii="宋体" w:hAnsi="宋体" w:eastAsia="宋体" w:cs="Times New Roman"/>
                <w:color w:val="auto"/>
                <w:szCs w:val="21"/>
              </w:rPr>
              <w:t>PR</w:t>
            </w:r>
            <w:r>
              <w:rPr>
                <w:rFonts w:ascii="宋体" w:hAnsi="宋体" w:eastAsia="宋体" w:cs="Times New Roman"/>
                <w:color w:val="auto"/>
                <w:szCs w:val="21"/>
              </w:rPr>
              <w:t>。</w:t>
            </w:r>
          </w:p>
        </w:tc>
        <w:tc>
          <w:tcPr>
            <w:tcW w:w="2220" w:type="dxa"/>
            <w:vAlign w:val="center"/>
          </w:tcPr>
          <w:p w14:paraId="5AB09A8B">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赵争艳</w:t>
            </w:r>
          </w:p>
        </w:tc>
        <w:tc>
          <w:tcPr>
            <w:tcW w:w="1908" w:type="dxa"/>
            <w:vAlign w:val="center"/>
          </w:tcPr>
          <w:p w14:paraId="1C0BC9D9">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0580-2260728</w:t>
            </w:r>
          </w:p>
          <w:p w14:paraId="27CF1266">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13758007280</w:t>
            </w:r>
          </w:p>
        </w:tc>
      </w:tr>
      <w:tr w14:paraId="582EF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460" w:type="dxa"/>
            <w:vAlign w:val="center"/>
          </w:tcPr>
          <w:p w14:paraId="3936A2C8">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中信银行股份有限公司舟山分行</w:t>
            </w:r>
          </w:p>
        </w:tc>
        <w:tc>
          <w:tcPr>
            <w:tcW w:w="3975" w:type="dxa"/>
          </w:tcPr>
          <w:p w14:paraId="3AEAC0CA">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中信银行“政采e贷”产品特点：根据政府采购成交通知书或合同，以政府财政支付资金为主要还款来源，为成交小微企业提供流动资金贷款。产品实现预授信、贷款申请、应收账款质押、授信审批、自助提款等环节的线上化、自动化处理，操作便利，授信额度最高不超过1000万元，贷款期限最长1年，利率低。</w:t>
            </w:r>
          </w:p>
        </w:tc>
        <w:tc>
          <w:tcPr>
            <w:tcW w:w="2220" w:type="dxa"/>
            <w:vAlign w:val="center"/>
          </w:tcPr>
          <w:p w14:paraId="52DA14AF">
            <w:pPr>
              <w:spacing w:line="240" w:lineRule="exact"/>
              <w:contextualSpacing/>
              <w:jc w:val="center"/>
              <w:rPr>
                <w:rFonts w:hint="eastAsia" w:ascii="宋体" w:hAnsi="宋体" w:eastAsia="宋体" w:cs="Times New Roman"/>
                <w:color w:val="auto"/>
                <w:szCs w:val="21"/>
              </w:rPr>
            </w:pPr>
            <w:r>
              <w:rPr>
                <w:rFonts w:ascii="宋体" w:hAnsi="宋体" w:eastAsia="宋体" w:cs="Times New Roman"/>
                <w:color w:val="auto"/>
                <w:szCs w:val="21"/>
              </w:rPr>
              <w:t>黄丽</w:t>
            </w:r>
          </w:p>
        </w:tc>
        <w:tc>
          <w:tcPr>
            <w:tcW w:w="1908" w:type="dxa"/>
            <w:vAlign w:val="center"/>
          </w:tcPr>
          <w:p w14:paraId="48C847AE">
            <w:pPr>
              <w:spacing w:line="240" w:lineRule="exact"/>
              <w:contextualSpacing/>
              <w:rPr>
                <w:rFonts w:hint="eastAsia" w:ascii="宋体" w:hAnsi="宋体" w:eastAsia="宋体" w:cs="Times New Roman"/>
                <w:color w:val="auto"/>
                <w:szCs w:val="21"/>
              </w:rPr>
            </w:pPr>
            <w:r>
              <w:rPr>
                <w:rFonts w:ascii="宋体" w:hAnsi="宋体" w:eastAsia="宋体" w:cs="Times New Roman"/>
                <w:color w:val="auto"/>
                <w:szCs w:val="21"/>
              </w:rPr>
              <w:t>13905808032</w:t>
            </w:r>
          </w:p>
        </w:tc>
      </w:tr>
      <w:tr w14:paraId="1639A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460" w:type="dxa"/>
            <w:vAlign w:val="center"/>
          </w:tcPr>
          <w:p w14:paraId="73C82C23">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泰隆银行舟山市分行</w:t>
            </w:r>
          </w:p>
        </w:tc>
        <w:tc>
          <w:tcPr>
            <w:tcW w:w="3975" w:type="dxa"/>
          </w:tcPr>
          <w:p w14:paraId="681000CD">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符合我行基本准入，期限对照订单最长不超过1年，额度最高1000万，担保方式享受信用贷款执行，可由成交企业或其实际控制人出面申请，利率最低可至当期LPR ，对于合同期限确实超过一年的，可享受无还本续贷至合同付款日。</w:t>
            </w:r>
          </w:p>
        </w:tc>
        <w:tc>
          <w:tcPr>
            <w:tcW w:w="2220" w:type="dxa"/>
            <w:vAlign w:val="center"/>
          </w:tcPr>
          <w:p w14:paraId="27699F52">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胡亢宇</w:t>
            </w:r>
          </w:p>
        </w:tc>
        <w:tc>
          <w:tcPr>
            <w:tcW w:w="1908" w:type="dxa"/>
            <w:vAlign w:val="center"/>
          </w:tcPr>
          <w:p w14:paraId="0160C1F8">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17605868703</w:t>
            </w:r>
          </w:p>
        </w:tc>
      </w:tr>
      <w:tr w14:paraId="47154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460" w:type="dxa"/>
            <w:vAlign w:val="center"/>
          </w:tcPr>
          <w:p w14:paraId="0FF09C98">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中国农业银行股份有限公司舟山分行</w:t>
            </w:r>
          </w:p>
        </w:tc>
        <w:tc>
          <w:tcPr>
            <w:tcW w:w="3975" w:type="dxa"/>
          </w:tcPr>
          <w:p w14:paraId="0BF31E9F">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政采贷”业务原则上不超过政府采购合同实有金额的80%，单户借款额度不超过500万元。借款到期日不晚于合同约定付款日后90天，原则上不超过1年，最长可放宽至2年。应收账款形成前，可采用信用方式用信并追加供应商法定代表人或实际控制人连带责任保证担保；应收账款形成后，信用方式用信需变更为应收账款质押担保。</w:t>
            </w:r>
          </w:p>
        </w:tc>
        <w:tc>
          <w:tcPr>
            <w:tcW w:w="2220" w:type="dxa"/>
            <w:vAlign w:val="center"/>
          </w:tcPr>
          <w:p w14:paraId="75CEF2B2">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苏华瞻</w:t>
            </w:r>
          </w:p>
        </w:tc>
        <w:tc>
          <w:tcPr>
            <w:tcW w:w="1908" w:type="dxa"/>
            <w:vAlign w:val="center"/>
          </w:tcPr>
          <w:p w14:paraId="0739E238">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13967228926</w:t>
            </w:r>
          </w:p>
        </w:tc>
      </w:tr>
      <w:tr w14:paraId="3F0FB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460" w:type="dxa"/>
            <w:vAlign w:val="center"/>
          </w:tcPr>
          <w:p w14:paraId="17C4A961">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中国邮政储蓄银行股份有限公司舟山市分行</w:t>
            </w:r>
          </w:p>
        </w:tc>
        <w:tc>
          <w:tcPr>
            <w:tcW w:w="3975" w:type="dxa"/>
          </w:tcPr>
          <w:p w14:paraId="19FE7BF8">
            <w:pPr>
              <w:tabs>
                <w:tab w:val="left" w:pos="0"/>
              </w:tabs>
              <w:spacing w:line="240" w:lineRule="exact"/>
              <w:rPr>
                <w:rFonts w:hint="eastAsia" w:ascii="宋体" w:hAnsi="宋体" w:eastAsia="宋体" w:cs="Times New Roman"/>
                <w:color w:val="auto"/>
                <w:szCs w:val="21"/>
              </w:rPr>
            </w:pPr>
            <w:r>
              <w:rPr>
                <w:rFonts w:hint="eastAsia" w:ascii="宋体" w:hAnsi="宋体" w:eastAsia="宋体" w:cs="Times New Roman"/>
                <w:color w:val="auto"/>
                <w:szCs w:val="21"/>
              </w:rPr>
              <w:t>符合我行基本准入，授信额度使用期最高为2年，单户授信最高为500万，担保方式享受信用贷款执行，利率最低可至当期LPR ，有无还本续贷，12月份线上产品可以自主自贷。</w:t>
            </w:r>
          </w:p>
        </w:tc>
        <w:tc>
          <w:tcPr>
            <w:tcW w:w="2220" w:type="dxa"/>
            <w:vAlign w:val="center"/>
          </w:tcPr>
          <w:p w14:paraId="66AC3371">
            <w:pPr>
              <w:spacing w:line="240" w:lineRule="exact"/>
              <w:contextualSpacing/>
              <w:jc w:val="center"/>
              <w:rPr>
                <w:rFonts w:hint="eastAsia" w:ascii="宋体" w:hAnsi="宋体" w:eastAsia="宋体" w:cs="Times New Roman"/>
                <w:color w:val="auto"/>
                <w:szCs w:val="21"/>
              </w:rPr>
            </w:pPr>
            <w:r>
              <w:rPr>
                <w:rFonts w:hint="eastAsia" w:ascii="宋体" w:hAnsi="宋体" w:eastAsia="宋体" w:cs="Times New Roman"/>
                <w:color w:val="auto"/>
                <w:szCs w:val="21"/>
              </w:rPr>
              <w:t>蒋志燕</w:t>
            </w:r>
          </w:p>
        </w:tc>
        <w:tc>
          <w:tcPr>
            <w:tcW w:w="1908" w:type="dxa"/>
            <w:vAlign w:val="center"/>
          </w:tcPr>
          <w:p w14:paraId="5E1A42C9">
            <w:pPr>
              <w:spacing w:line="240" w:lineRule="exact"/>
              <w:contextualSpacing/>
              <w:rPr>
                <w:rFonts w:hint="eastAsia" w:ascii="宋体" w:hAnsi="宋体" w:eastAsia="宋体" w:cs="Times New Roman"/>
                <w:color w:val="auto"/>
                <w:szCs w:val="21"/>
              </w:rPr>
            </w:pPr>
            <w:r>
              <w:rPr>
                <w:rFonts w:hint="eastAsia" w:ascii="宋体" w:hAnsi="宋体" w:eastAsia="宋体" w:cs="Times New Roman"/>
                <w:color w:val="auto"/>
                <w:szCs w:val="21"/>
              </w:rPr>
              <w:t>13732527321</w:t>
            </w:r>
          </w:p>
        </w:tc>
      </w:tr>
      <w:bookmarkEnd w:id="22"/>
    </w:tbl>
    <w:p w14:paraId="65FA4AD3">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2.一般步骤</w:t>
      </w:r>
    </w:p>
    <w:p w14:paraId="2D9E9831">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（1）供应商先与银行对接，办理融资前期手续；</w:t>
      </w:r>
    </w:p>
    <w:p w14:paraId="0D1F38CF">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（2）供应商中标后，凭中标通知书等材料，向相关合作银行发出融资申请；</w:t>
      </w:r>
    </w:p>
    <w:p w14:paraId="314A1DEA">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（3）银行、供应商线</w:t>
      </w:r>
      <w:r>
        <w:rPr>
          <w:rFonts w:hint="eastAsia" w:ascii="宋体" w:hAnsi="宋体" w:eastAsia="宋体" w:cs="Times New Roman"/>
          <w:color w:val="auto"/>
          <w:szCs w:val="21"/>
        </w:rPr>
        <w:t>上</w:t>
      </w:r>
      <w:r>
        <w:rPr>
          <w:rFonts w:ascii="宋体" w:hAnsi="宋体" w:eastAsia="宋体" w:cs="Times New Roman"/>
          <w:color w:val="auto"/>
          <w:szCs w:val="21"/>
        </w:rPr>
        <w:t>办理审批、放贷事宜。</w:t>
      </w:r>
    </w:p>
    <w:p w14:paraId="0B8AC727">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3.注意事项</w:t>
      </w:r>
    </w:p>
    <w:p w14:paraId="3C42D351">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（1）</w:t>
      </w:r>
      <w:r>
        <w:rPr>
          <w:rFonts w:hint="eastAsia" w:ascii="宋体" w:hAnsi="宋体" w:eastAsia="宋体" w:cs="Times New Roman"/>
          <w:color w:val="auto"/>
          <w:szCs w:val="21"/>
        </w:rPr>
        <w:t>中标人</w:t>
      </w:r>
      <w:r>
        <w:rPr>
          <w:rFonts w:ascii="宋体" w:hAnsi="宋体" w:eastAsia="宋体" w:cs="Times New Roman"/>
          <w:color w:val="auto"/>
          <w:szCs w:val="21"/>
        </w:rPr>
        <w:t>需确保政府采购合同的收款账户与融资银行开户账户一致。</w:t>
      </w:r>
    </w:p>
    <w:p w14:paraId="7E6DB127">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（2）用于政府采购信用融资的政府采购合同，应当包含如下条款：“第条：政府采购合同贷款</w:t>
      </w:r>
    </w:p>
    <w:p w14:paraId="709BD90F">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本合同同时用于乙方向银行（金融机构）申请政府采购信用贷款。</w:t>
      </w:r>
    </w:p>
    <w:p w14:paraId="14DD7D0F">
      <w:pPr>
        <w:spacing w:line="260" w:lineRule="exact"/>
        <w:ind w:firstLine="555"/>
        <w:rPr>
          <w:rFonts w:hint="eastAsia" w:ascii="宋体" w:hAnsi="宋体" w:eastAsia="宋体" w:cs="Times New Roman"/>
          <w:color w:val="auto"/>
          <w:szCs w:val="21"/>
        </w:rPr>
      </w:pPr>
      <w:r>
        <w:rPr>
          <w:rFonts w:ascii="宋体" w:hAnsi="宋体" w:eastAsia="宋体" w:cs="Times New Roman"/>
          <w:color w:val="auto"/>
          <w:szCs w:val="21"/>
        </w:rPr>
        <w:t>本合同一经签订，原则上不得更改乙方收款账户信息。确须更改的，乙方应取得原合同收款账户开户银行书面同意，否则修改后的合同不予备案，采购资金不予支付。”</w:t>
      </w:r>
    </w:p>
    <w:p w14:paraId="70663489">
      <w:pPr>
        <w:tabs>
          <w:tab w:val="left" w:pos="2472"/>
        </w:tabs>
        <w:snapToGrid w:val="0"/>
        <w:spacing w:before="120" w:line="312" w:lineRule="auto"/>
        <w:ind w:right="-87"/>
        <w:rPr>
          <w:rFonts w:ascii="Times New Roman" w:hAnsi="Times New Roman" w:eastAsia="黑体" w:cs="Times New Roman"/>
          <w:color w:val="auto"/>
          <w:sz w:val="30"/>
        </w:rPr>
      </w:pPr>
    </w:p>
    <w:p w14:paraId="579C5F7E">
      <w:pPr>
        <w:tabs>
          <w:tab w:val="left" w:pos="2472"/>
        </w:tabs>
        <w:snapToGrid w:val="0"/>
        <w:spacing w:before="120" w:line="312" w:lineRule="auto"/>
        <w:ind w:right="-87"/>
        <w:jc w:val="center"/>
        <w:rPr>
          <w:rFonts w:ascii="Times New Roman" w:hAnsi="Times New Roman" w:eastAsia="黑体" w:cs="Times New Roman"/>
          <w:color w:val="auto"/>
          <w:sz w:val="30"/>
        </w:rPr>
      </w:pPr>
    </w:p>
    <w:p w14:paraId="225EB9B2">
      <w:pPr>
        <w:tabs>
          <w:tab w:val="left" w:pos="2472"/>
        </w:tabs>
        <w:snapToGrid w:val="0"/>
        <w:spacing w:before="120" w:line="312" w:lineRule="auto"/>
        <w:ind w:right="-87"/>
        <w:jc w:val="center"/>
        <w:rPr>
          <w:rFonts w:ascii="Times New Roman" w:hAnsi="Times New Roman" w:eastAsia="黑体" w:cs="Times New Roman"/>
          <w:color w:val="auto"/>
          <w:sz w:val="30"/>
        </w:rPr>
      </w:pPr>
      <w:r>
        <w:rPr>
          <w:rFonts w:hint="eastAsia" w:ascii="Times New Roman" w:hAnsi="Times New Roman" w:eastAsia="黑体" w:cs="Times New Roman"/>
          <w:color w:val="auto"/>
          <w:sz w:val="30"/>
        </w:rPr>
        <w:t>第六章　投标文件格式</w:t>
      </w:r>
    </w:p>
    <w:p w14:paraId="67147422">
      <w:pPr>
        <w:tabs>
          <w:tab w:val="left" w:pos="2472"/>
        </w:tabs>
        <w:snapToGrid w:val="0"/>
        <w:spacing w:before="120" w:line="312" w:lineRule="auto"/>
        <w:ind w:right="-87"/>
        <w:jc w:val="center"/>
        <w:rPr>
          <w:rFonts w:ascii="Times New Roman" w:hAnsi="Times New Roman" w:eastAsia="黑体" w:cs="Times New Roman"/>
          <w:color w:val="auto"/>
          <w:sz w:val="30"/>
        </w:rPr>
      </w:pPr>
    </w:p>
    <w:p w14:paraId="78D4B5F2">
      <w:pPr>
        <w:snapToGrid w:val="0"/>
        <w:spacing w:line="360" w:lineRule="auto"/>
        <w:ind w:right="-85"/>
        <w:rPr>
          <w:rFonts w:ascii="Times New Roman" w:hAnsi="Times New Roman" w:eastAsia="宋体" w:cs="Times New Roman"/>
          <w:color w:val="auto"/>
          <w:sz w:val="24"/>
        </w:rPr>
      </w:pPr>
    </w:p>
    <w:p w14:paraId="4B8DDD61">
      <w:pPr>
        <w:snapToGrid w:val="0"/>
        <w:spacing w:line="360" w:lineRule="auto"/>
        <w:ind w:right="-85"/>
        <w:rPr>
          <w:rFonts w:ascii="Times New Roman" w:hAnsi="Times New Roman" w:eastAsia="宋体" w:cs="Times New Roman"/>
          <w:color w:val="auto"/>
          <w:sz w:val="24"/>
        </w:rPr>
      </w:pPr>
    </w:p>
    <w:p w14:paraId="41117C62">
      <w:pPr>
        <w:snapToGrid w:val="0"/>
        <w:spacing w:line="360" w:lineRule="auto"/>
        <w:ind w:right="-85"/>
        <w:rPr>
          <w:rFonts w:ascii="Times New Roman" w:hAnsi="Times New Roman" w:eastAsia="宋体" w:cs="Times New Roman"/>
          <w:color w:val="auto"/>
          <w:sz w:val="24"/>
        </w:rPr>
      </w:pPr>
      <w:r>
        <w:rPr>
          <w:rFonts w:hint="eastAsia" w:ascii="Times New Roman" w:hAnsi="Times New Roman" w:eastAsia="宋体" w:cs="Times New Roman"/>
          <w:color w:val="auto"/>
          <w:sz w:val="24"/>
        </w:rPr>
        <w:t>一、</w:t>
      </w:r>
      <w:r>
        <w:rPr>
          <w:rFonts w:hint="eastAsia" w:ascii="Times New Roman" w:hAnsi="Times New Roman" w:eastAsia="宋体" w:cs="Times New Roman"/>
          <w:b/>
          <w:color w:val="auto"/>
          <w:sz w:val="24"/>
        </w:rPr>
        <w:t>备份文件包装封面（格式供参考）</w:t>
      </w:r>
      <w:r>
        <w:rPr>
          <w:rFonts w:hint="eastAsia" w:ascii="Times New Roman" w:hAnsi="Times New Roman" w:eastAsia="宋体" w:cs="Times New Roman"/>
          <w:color w:val="auto"/>
          <w:sz w:val="24"/>
        </w:rPr>
        <w:t>：</w:t>
      </w:r>
    </w:p>
    <w:p w14:paraId="5A43D014">
      <w:pPr>
        <w:snapToGrid w:val="0"/>
        <w:spacing w:line="360" w:lineRule="auto"/>
        <w:ind w:right="-85"/>
        <w:jc w:val="center"/>
        <w:rPr>
          <w:rFonts w:ascii="Times New Roman" w:hAnsi="Times New Roman" w:eastAsia="宋体" w:cs="Times New Roman"/>
          <w:color w:val="auto"/>
          <w:sz w:val="24"/>
        </w:rPr>
      </w:pPr>
    </w:p>
    <w:p w14:paraId="2FA849A8">
      <w:pPr>
        <w:snapToGrid w:val="0"/>
        <w:spacing w:line="360" w:lineRule="auto"/>
        <w:ind w:right="-85"/>
        <w:jc w:val="center"/>
        <w:rPr>
          <w:rFonts w:ascii="Times New Roman" w:hAnsi="Times New Roman" w:eastAsia="宋体" w:cs="Times New Roman"/>
          <w:b/>
          <w:color w:val="auto"/>
          <w:sz w:val="44"/>
        </w:rPr>
      </w:pPr>
      <w:r>
        <w:rPr>
          <w:rFonts w:hint="eastAsia" w:ascii="Times New Roman" w:hAnsi="Times New Roman" w:eastAsia="宋体" w:cs="Times New Roman"/>
          <w:b/>
          <w:color w:val="auto"/>
          <w:sz w:val="44"/>
        </w:rPr>
        <w:t>投标文件</w:t>
      </w:r>
    </w:p>
    <w:p w14:paraId="2E316DB4">
      <w:pPr>
        <w:snapToGrid w:val="0"/>
        <w:spacing w:line="360" w:lineRule="auto"/>
        <w:ind w:right="-85"/>
        <w:rPr>
          <w:rFonts w:ascii="Times New Roman" w:hAnsi="Times New Roman" w:eastAsia="宋体" w:cs="Times New Roman"/>
          <w:color w:val="auto"/>
          <w:sz w:val="24"/>
        </w:rPr>
      </w:pPr>
    </w:p>
    <w:p w14:paraId="73EC91E2">
      <w:pPr>
        <w:snapToGrid w:val="0"/>
        <w:spacing w:line="360" w:lineRule="auto"/>
        <w:ind w:right="-85" w:firstLine="1124" w:firstLineChars="400"/>
        <w:rPr>
          <w:rFonts w:ascii="Times New Roman" w:hAnsi="Times New Roman" w:eastAsia="宋体" w:cs="Times New Roman"/>
          <w:b/>
          <w:color w:val="auto"/>
          <w:sz w:val="28"/>
        </w:rPr>
      </w:pPr>
      <w:r>
        <w:rPr>
          <w:rFonts w:hint="eastAsia" w:ascii="Times New Roman" w:hAnsi="Times New Roman" w:eastAsia="宋体" w:cs="Times New Roman"/>
          <w:b/>
          <w:color w:val="auto"/>
          <w:sz w:val="28"/>
        </w:rPr>
        <w:t>项目名称：</w:t>
      </w:r>
    </w:p>
    <w:p w14:paraId="799AA1FB">
      <w:pPr>
        <w:snapToGrid w:val="0"/>
        <w:spacing w:line="360" w:lineRule="auto"/>
        <w:ind w:right="-85" w:firstLine="1113" w:firstLineChars="396"/>
        <w:rPr>
          <w:rFonts w:ascii="Times New Roman" w:hAnsi="Times New Roman" w:eastAsia="宋体" w:cs="Times New Roman"/>
          <w:b/>
          <w:color w:val="auto"/>
          <w:sz w:val="28"/>
          <w:u w:val="single"/>
        </w:rPr>
      </w:pPr>
      <w:r>
        <w:rPr>
          <w:rFonts w:hint="eastAsia" w:ascii="Times New Roman" w:hAnsi="Times New Roman" w:eastAsia="宋体" w:cs="Times New Roman"/>
          <w:b/>
          <w:color w:val="auto"/>
          <w:sz w:val="28"/>
        </w:rPr>
        <w:t>项目编号：</w:t>
      </w:r>
    </w:p>
    <w:p w14:paraId="3DC6BBA0">
      <w:pPr>
        <w:snapToGrid w:val="0"/>
        <w:spacing w:line="360" w:lineRule="auto"/>
        <w:ind w:right="-85" w:firstLine="1169" w:firstLineChars="416"/>
        <w:rPr>
          <w:rFonts w:ascii="Times New Roman" w:hAnsi="Times New Roman" w:eastAsia="宋体" w:cs="Times New Roman"/>
          <w:b/>
          <w:color w:val="auto"/>
          <w:sz w:val="28"/>
        </w:rPr>
      </w:pPr>
      <w:r>
        <w:rPr>
          <w:rFonts w:hint="eastAsia" w:ascii="Times New Roman" w:hAnsi="Times New Roman" w:eastAsia="宋体" w:cs="Times New Roman"/>
          <w:b/>
          <w:color w:val="auto"/>
          <w:sz w:val="28"/>
        </w:rPr>
        <w:t>投标人名称：</w:t>
      </w:r>
      <w:r>
        <w:rPr>
          <w:rFonts w:hint="eastAsia" w:ascii="Times New Roman" w:hAnsi="Times New Roman" w:eastAsia="宋体" w:cs="Times New Roman"/>
          <w:b/>
          <w:color w:val="auto"/>
          <w:sz w:val="28"/>
          <w:u w:val="single"/>
        </w:rPr>
        <w:t>（</w:t>
      </w:r>
      <w:r>
        <w:rPr>
          <w:rFonts w:hint="eastAsia" w:ascii="Times New Roman" w:hAnsi="Times New Roman" w:eastAsia="宋体" w:cs="Times New Roman"/>
          <w:b/>
          <w:color w:val="auto"/>
          <w:sz w:val="28"/>
        </w:rPr>
        <w:t>加盖公章）</w:t>
      </w:r>
    </w:p>
    <w:p w14:paraId="4267B551">
      <w:pPr>
        <w:snapToGrid w:val="0"/>
        <w:spacing w:line="360" w:lineRule="auto"/>
        <w:ind w:right="-85" w:firstLine="1169" w:firstLineChars="416"/>
        <w:rPr>
          <w:rFonts w:ascii="Times New Roman" w:hAnsi="Times New Roman" w:eastAsia="宋体" w:cs="Times New Roman"/>
          <w:b/>
          <w:color w:val="auto"/>
          <w:sz w:val="28"/>
          <w:u w:val="single"/>
        </w:rPr>
      </w:pPr>
      <w:r>
        <w:rPr>
          <w:rFonts w:hint="eastAsia" w:ascii="Times New Roman" w:hAnsi="Times New Roman" w:eastAsia="宋体" w:cs="Times New Roman"/>
          <w:b/>
          <w:color w:val="auto"/>
          <w:sz w:val="28"/>
        </w:rPr>
        <w:t>投标人地址：</w:t>
      </w:r>
    </w:p>
    <w:p w14:paraId="3B47227F">
      <w:pPr>
        <w:snapToGrid w:val="0"/>
        <w:spacing w:line="360" w:lineRule="auto"/>
        <w:ind w:right="-85" w:firstLine="1124" w:firstLineChars="400"/>
        <w:rPr>
          <w:rFonts w:ascii="Times New Roman" w:hAnsi="Times New Roman" w:eastAsia="宋体" w:cs="Times New Roman"/>
          <w:b/>
          <w:color w:val="auto"/>
          <w:sz w:val="28"/>
          <w:u w:val="single"/>
        </w:rPr>
      </w:pPr>
      <w:r>
        <w:rPr>
          <w:rFonts w:hint="eastAsia" w:ascii="Times New Roman" w:hAnsi="Times New Roman" w:eastAsia="宋体" w:cs="Times New Roman"/>
          <w:b/>
          <w:color w:val="auto"/>
          <w:sz w:val="28"/>
        </w:rPr>
        <w:t>投标联系人：电话</w:t>
      </w:r>
    </w:p>
    <w:p w14:paraId="55CF2F53">
      <w:pPr>
        <w:snapToGrid w:val="0"/>
        <w:spacing w:line="360" w:lineRule="auto"/>
        <w:ind w:right="-85" w:firstLine="1124" w:firstLineChars="400"/>
        <w:rPr>
          <w:rFonts w:ascii="Times New Roman" w:hAnsi="Times New Roman" w:eastAsia="宋体" w:cs="Times New Roman"/>
          <w:b/>
          <w:color w:val="auto"/>
          <w:sz w:val="28"/>
          <w:u w:val="single"/>
        </w:rPr>
      </w:pPr>
      <w:r>
        <w:rPr>
          <w:rFonts w:hint="eastAsia" w:ascii="Times New Roman" w:hAnsi="Times New Roman" w:eastAsia="宋体" w:cs="Times New Roman"/>
          <w:b/>
          <w:color w:val="auto"/>
          <w:sz w:val="28"/>
        </w:rPr>
        <w:t>启封时间：</w:t>
      </w:r>
      <w:r>
        <w:rPr>
          <w:rFonts w:hint="eastAsia" w:ascii="Times New Roman" w:hAnsi="Times New Roman" w:eastAsia="宋体" w:cs="Times New Roman"/>
          <w:b/>
          <w:color w:val="auto"/>
          <w:sz w:val="28"/>
          <w:u w:val="single"/>
        </w:rPr>
        <w:t>在</w:t>
      </w:r>
      <w:r>
        <w:rPr>
          <w:rFonts w:ascii="Times New Roman" w:hAnsi="Times New Roman" w:eastAsia="宋体" w:cs="Times New Roman"/>
          <w:b/>
          <w:color w:val="auto"/>
          <w:sz w:val="28"/>
          <w:u w:val="single"/>
        </w:rPr>
        <w:t>20</w:t>
      </w:r>
      <w:r>
        <w:rPr>
          <w:rFonts w:hint="eastAsia" w:ascii="Times New Roman" w:hAnsi="Times New Roman" w:eastAsia="宋体" w:cs="Times New Roman"/>
          <w:b/>
          <w:color w:val="auto"/>
          <w:sz w:val="28"/>
          <w:u w:val="single"/>
        </w:rPr>
        <w:t>年月日时分之前不得启封</w:t>
      </w:r>
    </w:p>
    <w:p w14:paraId="5A291E0D">
      <w:pPr>
        <w:snapToGrid w:val="0"/>
        <w:spacing w:line="360" w:lineRule="auto"/>
        <w:ind w:right="-85" w:firstLine="4080" w:firstLineChars="1700"/>
        <w:rPr>
          <w:rFonts w:ascii="Times New Roman" w:hAnsi="Times New Roman" w:eastAsia="宋体" w:cs="Times New Roman"/>
          <w:color w:val="auto"/>
          <w:sz w:val="24"/>
        </w:rPr>
      </w:pPr>
    </w:p>
    <w:p w14:paraId="031E24CC">
      <w:pPr>
        <w:snapToGrid w:val="0"/>
        <w:spacing w:line="360" w:lineRule="auto"/>
        <w:ind w:right="-85" w:firstLine="645"/>
        <w:jc w:val="center"/>
        <w:rPr>
          <w:rFonts w:ascii="Times New Roman" w:hAnsi="Times New Roman" w:eastAsia="宋体" w:cs="Times New Roman"/>
          <w:color w:val="auto"/>
          <w:sz w:val="24"/>
        </w:rPr>
      </w:pPr>
      <w:r>
        <w:rPr>
          <w:rFonts w:hint="eastAsia" w:ascii="Times New Roman" w:hAnsi="Times New Roman" w:eastAsia="宋体" w:cs="Times New Roman"/>
          <w:color w:val="auto"/>
          <w:sz w:val="24"/>
        </w:rPr>
        <w:t>年月日</w:t>
      </w:r>
    </w:p>
    <w:p w14:paraId="5D7969F5">
      <w:pPr>
        <w:snapToGrid w:val="0"/>
        <w:spacing w:line="360" w:lineRule="auto"/>
        <w:ind w:right="-85"/>
        <w:outlineLvl w:val="1"/>
        <w:rPr>
          <w:rFonts w:ascii="Times New Roman" w:hAnsi="Times New Roman" w:eastAsia="宋体" w:cs="Times New Roman"/>
          <w:color w:val="auto"/>
          <w:sz w:val="24"/>
          <w:u w:val="single"/>
        </w:rPr>
      </w:pPr>
    </w:p>
    <w:p w14:paraId="260CD65A">
      <w:pPr>
        <w:snapToGrid w:val="0"/>
        <w:spacing w:before="120" w:beforeLines="50" w:line="312" w:lineRule="auto"/>
        <w:rPr>
          <w:rFonts w:ascii="Times New Roman" w:hAnsi="Times New Roman" w:eastAsia="宋体" w:cs="Times New Roman"/>
          <w:b/>
          <w:color w:val="auto"/>
          <w:sz w:val="32"/>
        </w:rPr>
      </w:pPr>
    </w:p>
    <w:p w14:paraId="334123E5">
      <w:pPr>
        <w:snapToGrid w:val="0"/>
        <w:spacing w:before="120" w:beforeLines="50" w:line="312" w:lineRule="auto"/>
        <w:rPr>
          <w:rFonts w:ascii="Times New Roman" w:hAnsi="Times New Roman" w:eastAsia="宋体" w:cs="Times New Roman"/>
          <w:b/>
          <w:color w:val="auto"/>
          <w:sz w:val="32"/>
        </w:rPr>
      </w:pPr>
    </w:p>
    <w:p w14:paraId="5DA47DC3">
      <w:pPr>
        <w:snapToGrid w:val="0"/>
        <w:spacing w:before="120" w:beforeLines="50" w:line="312" w:lineRule="auto"/>
        <w:rPr>
          <w:rFonts w:ascii="Times New Roman" w:hAnsi="Times New Roman" w:eastAsia="宋体" w:cs="Times New Roman"/>
          <w:b/>
          <w:color w:val="auto"/>
          <w:sz w:val="32"/>
        </w:rPr>
      </w:pPr>
    </w:p>
    <w:p w14:paraId="7F01AA36">
      <w:pPr>
        <w:snapToGrid w:val="0"/>
        <w:spacing w:before="120" w:beforeLines="50" w:line="312" w:lineRule="auto"/>
        <w:rPr>
          <w:rFonts w:ascii="Times New Roman" w:hAnsi="Times New Roman" w:eastAsia="宋体" w:cs="Times New Roman"/>
          <w:b/>
          <w:color w:val="auto"/>
          <w:sz w:val="32"/>
        </w:rPr>
      </w:pPr>
    </w:p>
    <w:p w14:paraId="3F250AD4">
      <w:pPr>
        <w:snapToGrid w:val="0"/>
        <w:spacing w:before="120" w:beforeLines="50" w:line="312" w:lineRule="auto"/>
        <w:rPr>
          <w:rFonts w:ascii="Times New Roman" w:hAnsi="Times New Roman" w:eastAsia="宋体" w:cs="Times New Roman"/>
          <w:b/>
          <w:color w:val="auto"/>
          <w:sz w:val="32"/>
        </w:rPr>
      </w:pPr>
    </w:p>
    <w:p w14:paraId="2139A41E">
      <w:pPr>
        <w:snapToGrid w:val="0"/>
        <w:spacing w:before="120" w:beforeLines="50" w:line="312" w:lineRule="auto"/>
        <w:rPr>
          <w:rFonts w:ascii="Times New Roman" w:hAnsi="Times New Roman" w:eastAsia="宋体" w:cs="Times New Roman"/>
          <w:b/>
          <w:color w:val="auto"/>
          <w:sz w:val="32"/>
        </w:rPr>
      </w:pPr>
    </w:p>
    <w:p w14:paraId="654AE3B3">
      <w:pPr>
        <w:snapToGrid w:val="0"/>
        <w:spacing w:before="120" w:beforeLines="50" w:line="312" w:lineRule="auto"/>
        <w:rPr>
          <w:rFonts w:ascii="Times New Roman" w:hAnsi="Times New Roman" w:eastAsia="宋体" w:cs="Times New Roman"/>
          <w:b/>
          <w:color w:val="auto"/>
          <w:sz w:val="28"/>
          <w:szCs w:val="28"/>
        </w:rPr>
      </w:pPr>
    </w:p>
    <w:p w14:paraId="3D1C926B">
      <w:pPr>
        <w:snapToGrid w:val="0"/>
        <w:spacing w:before="120" w:beforeLines="50" w:line="312" w:lineRule="auto"/>
        <w:rPr>
          <w:rFonts w:ascii="Times New Roman" w:hAnsi="Times New Roman" w:eastAsia="宋体" w:cs="Times New Roman"/>
          <w:b/>
          <w:color w:val="auto"/>
          <w:sz w:val="28"/>
          <w:szCs w:val="28"/>
        </w:rPr>
      </w:pPr>
    </w:p>
    <w:p w14:paraId="5903E835">
      <w:pPr>
        <w:pStyle w:val="26"/>
        <w:rPr>
          <w:color w:val="auto"/>
        </w:rPr>
      </w:pPr>
    </w:p>
    <w:p w14:paraId="465B88CB">
      <w:pPr>
        <w:pStyle w:val="27"/>
        <w:ind w:firstLine="210"/>
        <w:rPr>
          <w:color w:val="auto"/>
        </w:rPr>
      </w:pPr>
    </w:p>
    <w:p w14:paraId="5C2DEA49">
      <w:pPr>
        <w:snapToGrid w:val="0"/>
        <w:spacing w:before="120" w:beforeLines="50" w:line="312" w:lineRule="auto"/>
        <w:jc w:val="center"/>
        <w:rPr>
          <w:rFonts w:ascii="Times New Roman" w:hAnsi="Times New Roman" w:eastAsia="宋体" w:cs="Times New Roman"/>
          <w:b/>
          <w:color w:val="auto"/>
          <w:sz w:val="32"/>
        </w:rPr>
      </w:pPr>
      <w:r>
        <w:rPr>
          <w:rFonts w:hint="eastAsia" w:ascii="Times New Roman" w:hAnsi="Times New Roman" w:eastAsia="宋体" w:cs="Times New Roman"/>
          <w:b/>
          <w:color w:val="auto"/>
          <w:sz w:val="32"/>
          <w:szCs w:val="32"/>
        </w:rPr>
        <w:t>二、</w:t>
      </w:r>
      <w:r>
        <w:rPr>
          <w:rFonts w:hint="eastAsia" w:ascii="Times New Roman" w:hAnsi="Times New Roman" w:eastAsia="宋体" w:cs="Times New Roman"/>
          <w:b/>
          <w:color w:val="auto"/>
          <w:sz w:val="32"/>
        </w:rPr>
        <w:t>开标一览表</w:t>
      </w:r>
    </w:p>
    <w:p w14:paraId="338B1643">
      <w:pPr>
        <w:spacing w:line="360" w:lineRule="auto"/>
        <w:rPr>
          <w:rFonts w:ascii="Times New Roman" w:hAnsi="Times New Roman" w:eastAsia="宋体" w:cs="Times New Roman"/>
          <w:b/>
          <w:color w:val="auto"/>
          <w:sz w:val="24"/>
          <w:szCs w:val="24"/>
        </w:rPr>
      </w:pPr>
    </w:p>
    <w:p w14:paraId="520D257B">
      <w:pPr>
        <w:snapToGrid w:val="0"/>
        <w:spacing w:before="50" w:after="50"/>
        <w:rPr>
          <w:rFonts w:ascii="Times New Roman" w:hAnsi="Times New Roman" w:eastAsia="宋体" w:cs="Times New Roman"/>
          <w:color w:val="auto"/>
        </w:rPr>
      </w:pPr>
      <w:r>
        <w:rPr>
          <w:rFonts w:hint="eastAsia" w:ascii="Times New Roman" w:hAnsi="Times New Roman" w:eastAsia="宋体" w:cs="Times New Roman"/>
          <w:color w:val="auto"/>
        </w:rPr>
        <w:t>项目名称：</w:t>
      </w:r>
    </w:p>
    <w:p w14:paraId="4C47274A">
      <w:pPr>
        <w:snapToGrid w:val="0"/>
        <w:spacing w:before="50" w:after="50"/>
        <w:rPr>
          <w:rFonts w:ascii="Times New Roman" w:hAnsi="Times New Roman" w:eastAsia="宋体" w:cs="Times New Roman"/>
          <w:color w:val="auto"/>
        </w:rPr>
      </w:pPr>
      <w:r>
        <w:rPr>
          <w:rFonts w:hint="eastAsia" w:ascii="Times New Roman" w:hAnsi="Times New Roman" w:eastAsia="宋体" w:cs="Times New Roman"/>
          <w:color w:val="auto"/>
        </w:rPr>
        <w:t>项目编号：</w:t>
      </w:r>
    </w:p>
    <w:p w14:paraId="7C201B98">
      <w:pPr>
        <w:pageBreakBefore w:val="0"/>
        <w:widowControl/>
        <w:kinsoku/>
        <w:wordWrap/>
        <w:overflowPunct/>
        <w:topLinePunct w:val="0"/>
        <w:bidi w:val="0"/>
        <w:spacing w:line="320" w:lineRule="exact"/>
        <w:rPr>
          <w:rFonts w:hint="eastAsia" w:eastAsia="宋体"/>
          <w:color w:val="auto"/>
        </w:rPr>
      </w:pPr>
      <w:r>
        <w:rPr>
          <w:rFonts w:hint="eastAsia" w:ascii="Times New Roman" w:hAnsi="Times New Roman" w:eastAsia="宋体" w:cs="Times New Roman"/>
          <w:color w:val="auto"/>
          <w:kern w:val="0"/>
          <w:szCs w:val="21"/>
          <w:lang w:val="en-US" w:eastAsia="zh-CN"/>
        </w:rPr>
        <w:t xml:space="preserve">                                                                     </w:t>
      </w:r>
      <w:r>
        <w:rPr>
          <w:rFonts w:hint="eastAsia" w:ascii="Times New Roman" w:hAnsi="Times New Roman" w:eastAsia="宋体" w:cs="Times New Roman"/>
          <w:color w:val="auto"/>
          <w:kern w:val="0"/>
          <w:szCs w:val="21"/>
        </w:rPr>
        <w:t>单位：元</w:t>
      </w:r>
    </w:p>
    <w:tbl>
      <w:tblPr>
        <w:tblStyle w:val="62"/>
        <w:tblW w:w="9097"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3250"/>
        <w:gridCol w:w="1390"/>
        <w:gridCol w:w="1140"/>
        <w:gridCol w:w="1380"/>
        <w:gridCol w:w="1280"/>
      </w:tblGrid>
      <w:tr w14:paraId="1C06D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7BD02C8A">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序号</w:t>
            </w:r>
          </w:p>
        </w:tc>
        <w:tc>
          <w:tcPr>
            <w:tcW w:w="3250" w:type="dxa"/>
            <w:vAlign w:val="center"/>
          </w:tcPr>
          <w:p w14:paraId="7A5C7783">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b/>
                <w:bCs/>
                <w:color w:val="auto"/>
                <w:sz w:val="21"/>
                <w:szCs w:val="21"/>
                <w:vertAlign w:val="baseline"/>
              </w:rPr>
            </w:pPr>
            <w:r>
              <w:rPr>
                <w:rFonts w:hint="eastAsia" w:ascii="宋体" w:hAnsi="宋体" w:eastAsia="宋体" w:cs="宋体"/>
                <w:color w:val="auto"/>
                <w:sz w:val="21"/>
                <w:szCs w:val="21"/>
              </w:rPr>
              <w:t>仪器名称</w:t>
            </w:r>
          </w:p>
        </w:tc>
        <w:tc>
          <w:tcPr>
            <w:tcW w:w="1390" w:type="dxa"/>
            <w:vAlign w:val="center"/>
          </w:tcPr>
          <w:p w14:paraId="1680201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数量</w:t>
            </w:r>
          </w:p>
          <w:p w14:paraId="58C0F45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（台套）</w:t>
            </w:r>
          </w:p>
        </w:tc>
        <w:tc>
          <w:tcPr>
            <w:tcW w:w="1140" w:type="dxa"/>
            <w:vAlign w:val="center"/>
          </w:tcPr>
          <w:p w14:paraId="198E83EE">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单价</w:t>
            </w:r>
          </w:p>
        </w:tc>
        <w:tc>
          <w:tcPr>
            <w:tcW w:w="1380" w:type="dxa"/>
            <w:vAlign w:val="center"/>
          </w:tcPr>
          <w:p w14:paraId="3774F798">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合计</w:t>
            </w:r>
          </w:p>
        </w:tc>
        <w:tc>
          <w:tcPr>
            <w:tcW w:w="1280" w:type="dxa"/>
            <w:vAlign w:val="center"/>
          </w:tcPr>
          <w:p w14:paraId="0D65DF62">
            <w:pPr>
              <w:keepNext w:val="0"/>
              <w:keepLines w:val="0"/>
              <w:pageBreakBefore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备注</w:t>
            </w:r>
          </w:p>
        </w:tc>
      </w:tr>
      <w:tr w14:paraId="6B2A0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57" w:type="dxa"/>
            <w:shd w:val="clear" w:color="auto" w:fill="auto"/>
            <w:vAlign w:val="center"/>
          </w:tcPr>
          <w:p w14:paraId="1FA6787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w:t>
            </w:r>
          </w:p>
        </w:tc>
        <w:tc>
          <w:tcPr>
            <w:tcW w:w="3250" w:type="dxa"/>
            <w:vAlign w:val="center"/>
          </w:tcPr>
          <w:p w14:paraId="690CDDB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盐度计</w:t>
            </w:r>
          </w:p>
        </w:tc>
        <w:tc>
          <w:tcPr>
            <w:tcW w:w="1390" w:type="dxa"/>
            <w:vAlign w:val="center"/>
          </w:tcPr>
          <w:p w14:paraId="64C08E3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0AFA511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23A1565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1380603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11B3F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1F12628D">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3250" w:type="dxa"/>
            <w:vAlign w:val="center"/>
          </w:tcPr>
          <w:p w14:paraId="1687E2B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无人机采样模块</w:t>
            </w:r>
          </w:p>
        </w:tc>
        <w:tc>
          <w:tcPr>
            <w:tcW w:w="1390" w:type="dxa"/>
            <w:vAlign w:val="center"/>
          </w:tcPr>
          <w:p w14:paraId="72680D5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254A55C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061C89C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080F285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2E385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15F4097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3250" w:type="dxa"/>
            <w:vAlign w:val="center"/>
          </w:tcPr>
          <w:p w14:paraId="1A7AACC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凯氏定氮仪自动进样仪</w:t>
            </w:r>
          </w:p>
        </w:tc>
        <w:tc>
          <w:tcPr>
            <w:tcW w:w="1390" w:type="dxa"/>
            <w:vAlign w:val="center"/>
          </w:tcPr>
          <w:p w14:paraId="6DABC85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47EA04F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76B185E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7A59103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3A94A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308CCEEA">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3250" w:type="dxa"/>
            <w:vAlign w:val="center"/>
          </w:tcPr>
          <w:p w14:paraId="675A522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振荡器</w:t>
            </w:r>
          </w:p>
        </w:tc>
        <w:tc>
          <w:tcPr>
            <w:tcW w:w="1390" w:type="dxa"/>
            <w:vAlign w:val="center"/>
          </w:tcPr>
          <w:p w14:paraId="4F18CB3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0FA5204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7D5FF3B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7D696B2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5967A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2FC56CFA">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3250" w:type="dxa"/>
            <w:vAlign w:val="center"/>
          </w:tcPr>
          <w:p w14:paraId="5D28DAA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多参数水质仪</w:t>
            </w:r>
          </w:p>
        </w:tc>
        <w:tc>
          <w:tcPr>
            <w:tcW w:w="1390" w:type="dxa"/>
            <w:vAlign w:val="center"/>
          </w:tcPr>
          <w:p w14:paraId="27367F1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140" w:type="dxa"/>
            <w:vAlign w:val="center"/>
          </w:tcPr>
          <w:p w14:paraId="473EAC6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70A82F9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5B033AA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4C50C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57" w:type="dxa"/>
            <w:shd w:val="clear" w:color="auto" w:fill="auto"/>
            <w:vAlign w:val="center"/>
          </w:tcPr>
          <w:p w14:paraId="486ACC93">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3250" w:type="dxa"/>
            <w:shd w:val="clear" w:color="auto" w:fill="auto"/>
            <w:vAlign w:val="center"/>
          </w:tcPr>
          <w:p w14:paraId="04A153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气象参数测定仪</w:t>
            </w:r>
          </w:p>
        </w:tc>
        <w:tc>
          <w:tcPr>
            <w:tcW w:w="1390" w:type="dxa"/>
            <w:vAlign w:val="center"/>
          </w:tcPr>
          <w:p w14:paraId="6DA0A5C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140" w:type="dxa"/>
            <w:vAlign w:val="center"/>
          </w:tcPr>
          <w:p w14:paraId="6CFC6FB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3174510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34C7D09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27850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1C355C80">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3250" w:type="dxa"/>
            <w:shd w:val="clear" w:color="auto" w:fill="auto"/>
            <w:vAlign w:val="center"/>
          </w:tcPr>
          <w:p w14:paraId="353F0F8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智能多通道颗粒物采样器</w:t>
            </w:r>
          </w:p>
        </w:tc>
        <w:tc>
          <w:tcPr>
            <w:tcW w:w="1390" w:type="dxa"/>
            <w:vAlign w:val="center"/>
          </w:tcPr>
          <w:p w14:paraId="5733861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140" w:type="dxa"/>
            <w:vAlign w:val="center"/>
          </w:tcPr>
          <w:p w14:paraId="57B0F9A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64E7066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1B4C014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47FDB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1D19096E">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w:t>
            </w:r>
          </w:p>
        </w:tc>
        <w:tc>
          <w:tcPr>
            <w:tcW w:w="3250" w:type="dxa"/>
            <w:shd w:val="clear" w:color="auto" w:fill="auto"/>
            <w:vAlign w:val="center"/>
          </w:tcPr>
          <w:p w14:paraId="7547787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小无人机</w:t>
            </w:r>
          </w:p>
        </w:tc>
        <w:tc>
          <w:tcPr>
            <w:tcW w:w="1390" w:type="dxa"/>
            <w:vAlign w:val="center"/>
          </w:tcPr>
          <w:p w14:paraId="6D6BB2C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5BA1992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6324CA9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012C469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1360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57" w:type="dxa"/>
            <w:shd w:val="clear" w:color="auto" w:fill="auto"/>
            <w:vAlign w:val="center"/>
          </w:tcPr>
          <w:p w14:paraId="70C1D947">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w:t>
            </w:r>
          </w:p>
        </w:tc>
        <w:tc>
          <w:tcPr>
            <w:tcW w:w="3250" w:type="dxa"/>
            <w:shd w:val="clear" w:color="auto" w:fill="auto"/>
            <w:vAlign w:val="center"/>
          </w:tcPr>
          <w:p w14:paraId="2AF8286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热释光测量系统</w:t>
            </w:r>
          </w:p>
        </w:tc>
        <w:tc>
          <w:tcPr>
            <w:tcW w:w="1390" w:type="dxa"/>
            <w:vAlign w:val="center"/>
          </w:tcPr>
          <w:p w14:paraId="51266F5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73E90A6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339BBC6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271D7DF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2A743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2EF6B1A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3250" w:type="dxa"/>
            <w:shd w:val="clear" w:color="auto" w:fill="auto"/>
            <w:vAlign w:val="center"/>
          </w:tcPr>
          <w:p w14:paraId="2327246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辐射防护装备</w:t>
            </w:r>
          </w:p>
        </w:tc>
        <w:tc>
          <w:tcPr>
            <w:tcW w:w="1390" w:type="dxa"/>
            <w:vAlign w:val="center"/>
          </w:tcPr>
          <w:p w14:paraId="1626E02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140" w:type="dxa"/>
            <w:vAlign w:val="center"/>
          </w:tcPr>
          <w:p w14:paraId="550B003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1E1E5FB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0A80921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0E4BF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2AF01001">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w:t>
            </w:r>
          </w:p>
        </w:tc>
        <w:tc>
          <w:tcPr>
            <w:tcW w:w="3250" w:type="dxa"/>
            <w:shd w:val="clear" w:color="auto" w:fill="auto"/>
            <w:vAlign w:val="center"/>
          </w:tcPr>
          <w:p w14:paraId="1D8C7ED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离子计</w:t>
            </w:r>
          </w:p>
        </w:tc>
        <w:tc>
          <w:tcPr>
            <w:tcW w:w="1390" w:type="dxa"/>
            <w:vAlign w:val="center"/>
          </w:tcPr>
          <w:p w14:paraId="2F5A97B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14913D6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567628E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3C8E16A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6C29C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6D5DE64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3250" w:type="dxa"/>
            <w:shd w:val="clear" w:color="auto" w:fill="auto"/>
            <w:vAlign w:val="center"/>
          </w:tcPr>
          <w:p w14:paraId="04F20B6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测氡仪</w:t>
            </w:r>
          </w:p>
        </w:tc>
        <w:tc>
          <w:tcPr>
            <w:tcW w:w="1390" w:type="dxa"/>
            <w:vAlign w:val="center"/>
          </w:tcPr>
          <w:p w14:paraId="179B3D5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0632D38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1D96BB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highlight w:val="none"/>
                <w:lang w:val="en-US" w:eastAsia="zh-CN"/>
              </w:rPr>
            </w:pPr>
          </w:p>
        </w:tc>
        <w:tc>
          <w:tcPr>
            <w:tcW w:w="1280" w:type="dxa"/>
            <w:vAlign w:val="center"/>
          </w:tcPr>
          <w:p w14:paraId="4BCD424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highlight w:val="none"/>
                <w:lang w:val="en-US" w:eastAsia="zh-CN"/>
              </w:rPr>
            </w:pPr>
          </w:p>
        </w:tc>
      </w:tr>
      <w:tr w14:paraId="71819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5D7B95BF">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w:t>
            </w:r>
          </w:p>
        </w:tc>
        <w:tc>
          <w:tcPr>
            <w:tcW w:w="3250" w:type="dxa"/>
            <w:shd w:val="clear" w:color="auto" w:fill="auto"/>
            <w:vAlign w:val="center"/>
          </w:tcPr>
          <w:p w14:paraId="4DABFA5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手持式寻源仪</w:t>
            </w:r>
          </w:p>
        </w:tc>
        <w:tc>
          <w:tcPr>
            <w:tcW w:w="1390" w:type="dxa"/>
            <w:vAlign w:val="center"/>
          </w:tcPr>
          <w:p w14:paraId="2B9E26E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140" w:type="dxa"/>
            <w:vAlign w:val="center"/>
          </w:tcPr>
          <w:p w14:paraId="3C2A428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25ABD51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6FED9AF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23BD0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0CD5DFB5">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w:t>
            </w:r>
          </w:p>
        </w:tc>
        <w:tc>
          <w:tcPr>
            <w:tcW w:w="3250" w:type="dxa"/>
            <w:shd w:val="clear" w:color="auto" w:fill="auto"/>
            <w:vAlign w:val="center"/>
          </w:tcPr>
          <w:p w14:paraId="6958B53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高速冷冻离心机</w:t>
            </w:r>
          </w:p>
        </w:tc>
        <w:tc>
          <w:tcPr>
            <w:tcW w:w="1390" w:type="dxa"/>
            <w:vAlign w:val="center"/>
          </w:tcPr>
          <w:p w14:paraId="3D219F6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49F1AA1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00DAA95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1485380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18EB0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766713B9">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w:t>
            </w:r>
          </w:p>
        </w:tc>
        <w:tc>
          <w:tcPr>
            <w:tcW w:w="3250" w:type="dxa"/>
            <w:shd w:val="clear" w:color="auto" w:fill="auto"/>
            <w:vAlign w:val="center"/>
          </w:tcPr>
          <w:p w14:paraId="7EBC8CC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氮磷检测器</w:t>
            </w:r>
          </w:p>
        </w:tc>
        <w:tc>
          <w:tcPr>
            <w:tcW w:w="1390" w:type="dxa"/>
            <w:vAlign w:val="center"/>
          </w:tcPr>
          <w:p w14:paraId="7029887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75B838D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19576CA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3548146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3F6B1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033D948C">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w:t>
            </w:r>
          </w:p>
        </w:tc>
        <w:tc>
          <w:tcPr>
            <w:tcW w:w="3250" w:type="dxa"/>
            <w:shd w:val="clear" w:color="auto" w:fill="auto"/>
            <w:vAlign w:val="center"/>
          </w:tcPr>
          <w:p w14:paraId="4CC212B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烷基汞蒸馏仪</w:t>
            </w:r>
          </w:p>
        </w:tc>
        <w:tc>
          <w:tcPr>
            <w:tcW w:w="1390" w:type="dxa"/>
            <w:vAlign w:val="center"/>
          </w:tcPr>
          <w:p w14:paraId="72A853D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5E4E992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4F687D0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60513BD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79002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5F4664FE">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17</w:t>
            </w:r>
          </w:p>
        </w:tc>
        <w:tc>
          <w:tcPr>
            <w:tcW w:w="3250" w:type="dxa"/>
            <w:shd w:val="clear" w:color="auto" w:fill="auto"/>
            <w:vAlign w:val="center"/>
          </w:tcPr>
          <w:p w14:paraId="58DC46C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水质监测采样无人船</w:t>
            </w:r>
          </w:p>
        </w:tc>
        <w:tc>
          <w:tcPr>
            <w:tcW w:w="1390" w:type="dxa"/>
            <w:vAlign w:val="center"/>
          </w:tcPr>
          <w:p w14:paraId="6727848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10AFF9F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47151A7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3D2C392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2C747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07C7F11E">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w:t>
            </w:r>
          </w:p>
        </w:tc>
        <w:tc>
          <w:tcPr>
            <w:tcW w:w="3250" w:type="dxa"/>
            <w:shd w:val="clear" w:color="auto" w:fill="auto"/>
            <w:vAlign w:val="center"/>
          </w:tcPr>
          <w:p w14:paraId="40F6297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气体流量校准器</w:t>
            </w:r>
          </w:p>
        </w:tc>
        <w:tc>
          <w:tcPr>
            <w:tcW w:w="1390" w:type="dxa"/>
            <w:vAlign w:val="center"/>
          </w:tcPr>
          <w:p w14:paraId="445D9EC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140" w:type="dxa"/>
            <w:vAlign w:val="center"/>
          </w:tcPr>
          <w:p w14:paraId="0718281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20369BB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7990D08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11719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68CC3CE6">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19</w:t>
            </w:r>
          </w:p>
        </w:tc>
        <w:tc>
          <w:tcPr>
            <w:tcW w:w="3250" w:type="dxa"/>
            <w:shd w:val="clear" w:color="auto" w:fill="auto"/>
            <w:vAlign w:val="center"/>
          </w:tcPr>
          <w:p w14:paraId="36F9C53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荧光分光光度计</w:t>
            </w:r>
          </w:p>
        </w:tc>
        <w:tc>
          <w:tcPr>
            <w:tcW w:w="1390" w:type="dxa"/>
            <w:vAlign w:val="center"/>
          </w:tcPr>
          <w:p w14:paraId="2A66A54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5D17627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76215D7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787E80A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6B099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0636C4FB">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c>
          <w:tcPr>
            <w:tcW w:w="3250" w:type="dxa"/>
            <w:shd w:val="clear" w:color="auto" w:fill="auto"/>
            <w:vAlign w:val="center"/>
          </w:tcPr>
          <w:p w14:paraId="4283684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多光谱小型无人机</w:t>
            </w:r>
          </w:p>
        </w:tc>
        <w:tc>
          <w:tcPr>
            <w:tcW w:w="1390" w:type="dxa"/>
            <w:vAlign w:val="center"/>
          </w:tcPr>
          <w:p w14:paraId="225E5F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06A339C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5B2B42C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456A836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0D91B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786A9FAE">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p>
        </w:tc>
        <w:tc>
          <w:tcPr>
            <w:tcW w:w="3250" w:type="dxa"/>
            <w:shd w:val="clear" w:color="auto" w:fill="auto"/>
            <w:vAlign w:val="center"/>
          </w:tcPr>
          <w:p w14:paraId="21965F9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台式恒温振荡器</w:t>
            </w:r>
          </w:p>
        </w:tc>
        <w:tc>
          <w:tcPr>
            <w:tcW w:w="1390" w:type="dxa"/>
            <w:vAlign w:val="center"/>
          </w:tcPr>
          <w:p w14:paraId="4B28399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37BB91A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0DA8B37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59A5F70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1D478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552A7213">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w:t>
            </w:r>
          </w:p>
        </w:tc>
        <w:tc>
          <w:tcPr>
            <w:tcW w:w="3250" w:type="dxa"/>
            <w:vAlign w:val="center"/>
          </w:tcPr>
          <w:p w14:paraId="6C94445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危化品安全管理智能设备及系统</w:t>
            </w:r>
          </w:p>
        </w:tc>
        <w:tc>
          <w:tcPr>
            <w:tcW w:w="1390" w:type="dxa"/>
            <w:vAlign w:val="center"/>
          </w:tcPr>
          <w:p w14:paraId="5CA87A5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793A365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3622AAC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11A8F48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6BE39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5314724B">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w:t>
            </w:r>
          </w:p>
        </w:tc>
        <w:tc>
          <w:tcPr>
            <w:tcW w:w="3250" w:type="dxa"/>
            <w:vAlign w:val="center"/>
          </w:tcPr>
          <w:p w14:paraId="61A1352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标准品信息化储存管理系统</w:t>
            </w:r>
          </w:p>
        </w:tc>
        <w:tc>
          <w:tcPr>
            <w:tcW w:w="1390" w:type="dxa"/>
            <w:vAlign w:val="center"/>
          </w:tcPr>
          <w:p w14:paraId="2514FC4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40" w:type="dxa"/>
            <w:vAlign w:val="center"/>
          </w:tcPr>
          <w:p w14:paraId="298E10E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3ACBEC1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64DB6AB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15E36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shd w:val="clear" w:color="auto" w:fill="auto"/>
            <w:vAlign w:val="center"/>
          </w:tcPr>
          <w:p w14:paraId="74D8E160">
            <w:pPr>
              <w:keepNext w:val="0"/>
              <w:keepLines w:val="0"/>
              <w:pageBreakBefore w:val="0"/>
              <w:kinsoku/>
              <w:wordWrap/>
              <w:overflowPunct/>
              <w:topLinePunct w:val="0"/>
              <w:autoSpaceDE/>
              <w:autoSpaceDN/>
              <w:bidi w:val="0"/>
              <w:adjustRightInd/>
              <w:snapToGrid/>
              <w:spacing w:line="320" w:lineRule="exact"/>
              <w:ind w:firstLine="0" w:firstLineChars="0"/>
              <w:jc w:val="center"/>
              <w:textAlignment w:val="auto"/>
              <w:rPr>
                <w:rFonts w:hint="eastAsia" w:ascii="宋体" w:hAnsi="宋体" w:eastAsia="宋体" w:cs="宋体"/>
                <w:color w:val="auto"/>
                <w:sz w:val="21"/>
                <w:szCs w:val="21"/>
                <w:lang w:val="en-US" w:eastAsia="zh-CN"/>
              </w:rPr>
            </w:pPr>
          </w:p>
        </w:tc>
        <w:tc>
          <w:tcPr>
            <w:tcW w:w="3250" w:type="dxa"/>
            <w:vAlign w:val="center"/>
          </w:tcPr>
          <w:p w14:paraId="3318F5F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90" w:type="dxa"/>
            <w:vAlign w:val="center"/>
          </w:tcPr>
          <w:p w14:paraId="376DB86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140" w:type="dxa"/>
            <w:vAlign w:val="center"/>
          </w:tcPr>
          <w:p w14:paraId="4B3642F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auto"/>
                <w:sz w:val="21"/>
                <w:szCs w:val="21"/>
                <w:lang w:val="en-US" w:eastAsia="zh-CN"/>
              </w:rPr>
            </w:pPr>
          </w:p>
        </w:tc>
        <w:tc>
          <w:tcPr>
            <w:tcW w:w="1380" w:type="dxa"/>
            <w:vAlign w:val="center"/>
          </w:tcPr>
          <w:p w14:paraId="7F375B2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c>
          <w:tcPr>
            <w:tcW w:w="1280" w:type="dxa"/>
            <w:vAlign w:val="center"/>
          </w:tcPr>
          <w:p w14:paraId="240247B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cs="宋体"/>
                <w:color w:val="auto"/>
                <w:sz w:val="21"/>
                <w:szCs w:val="21"/>
                <w:lang w:val="en-US" w:eastAsia="zh-CN"/>
              </w:rPr>
            </w:pPr>
          </w:p>
        </w:tc>
      </w:tr>
      <w:tr w14:paraId="11C75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7" w:type="dxa"/>
            <w:gridSpan w:val="6"/>
            <w:shd w:val="clear" w:color="auto" w:fill="auto"/>
            <w:vAlign w:val="center"/>
          </w:tcPr>
          <w:p w14:paraId="0A9EDD7E">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合计：</w:t>
            </w:r>
          </w:p>
        </w:tc>
      </w:tr>
      <w:tr w14:paraId="145FE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7" w:type="dxa"/>
            <w:gridSpan w:val="6"/>
            <w:shd w:val="clear" w:color="auto" w:fill="auto"/>
            <w:vAlign w:val="center"/>
          </w:tcPr>
          <w:p w14:paraId="1E797388">
            <w:pPr>
              <w:keepNext w:val="0"/>
              <w:keepLines w:val="0"/>
              <w:pageBreakBefore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合计（大写）：</w:t>
            </w:r>
          </w:p>
        </w:tc>
      </w:tr>
    </w:tbl>
    <w:p w14:paraId="5B63496B">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说明：</w:t>
      </w:r>
    </w:p>
    <w:p w14:paraId="02CBACCB">
      <w:pPr>
        <w:snapToGrid w:val="0"/>
        <w:spacing w:line="360" w:lineRule="auto"/>
        <w:ind w:right="-340" w:firstLine="420" w:firstLineChars="200"/>
        <w:rPr>
          <w:rFonts w:ascii="宋体" w:hAnsi="Times New Roman" w:eastAsia="宋体" w:cs="Times New Roman"/>
          <w:color w:val="auto"/>
        </w:rPr>
      </w:pPr>
      <w:r>
        <w:rPr>
          <w:rFonts w:hint="eastAsia" w:ascii="宋体" w:hAnsi="宋体" w:eastAsia="宋体" w:cs="Times New Roman"/>
          <w:color w:val="auto"/>
        </w:rPr>
        <w:t xml:space="preserve"> 项目费用包括项目实施所需的一切费用。</w:t>
      </w:r>
    </w:p>
    <w:p w14:paraId="3D053ACD">
      <w:pPr>
        <w:snapToGrid w:val="0"/>
        <w:spacing w:line="360" w:lineRule="auto"/>
        <w:ind w:right="-340"/>
        <w:rPr>
          <w:rFonts w:ascii="Times New Roman" w:hAnsi="Times New Roman" w:eastAsia="宋体" w:cs="Times New Roman"/>
          <w:color w:val="auto"/>
        </w:rPr>
      </w:pPr>
    </w:p>
    <w:p w14:paraId="1B3802AB">
      <w:pPr>
        <w:snapToGrid w:val="0"/>
        <w:spacing w:line="360" w:lineRule="auto"/>
        <w:ind w:right="-340"/>
        <w:rPr>
          <w:rFonts w:ascii="Times New Roman" w:hAnsi="Times New Roman" w:eastAsia="宋体" w:cs="Times New Roman"/>
          <w:color w:val="auto"/>
        </w:rPr>
      </w:pPr>
      <w:r>
        <w:rPr>
          <w:rFonts w:hint="eastAsia" w:ascii="Times New Roman" w:hAnsi="Times New Roman" w:eastAsia="宋体" w:cs="Times New Roman"/>
          <w:color w:val="auto"/>
        </w:rPr>
        <w:t>投标人名称（盖章）：日期：年月日</w:t>
      </w:r>
    </w:p>
    <w:p w14:paraId="64FA49E1">
      <w:pPr>
        <w:pStyle w:val="82"/>
        <w:ind w:firstLine="0" w:firstLineChars="0"/>
        <w:rPr>
          <w:rFonts w:ascii="Times New Roman" w:hAnsi="Times New Roman" w:eastAsia="宋体" w:cs="Times New Roman"/>
          <w:b/>
          <w:color w:val="auto"/>
          <w:sz w:val="32"/>
        </w:rPr>
      </w:pPr>
    </w:p>
    <w:p w14:paraId="4DCF48C3">
      <w:pPr>
        <w:pStyle w:val="3"/>
      </w:pPr>
    </w:p>
    <w:p w14:paraId="45CE49B1">
      <w:pPr>
        <w:snapToGrid w:val="0"/>
        <w:spacing w:before="120" w:line="312" w:lineRule="auto"/>
        <w:ind w:right="-341"/>
        <w:jc w:val="center"/>
        <w:rPr>
          <w:rFonts w:ascii="Times New Roman" w:hAnsi="Times New Roman" w:eastAsia="宋体" w:cs="Times New Roman"/>
          <w:b/>
          <w:sz w:val="32"/>
        </w:rPr>
      </w:pPr>
      <w:r>
        <w:rPr>
          <w:rFonts w:hint="eastAsia" w:ascii="Times New Roman" w:hAnsi="Times New Roman" w:eastAsia="宋体" w:cs="Times New Roman"/>
          <w:b/>
          <w:sz w:val="32"/>
        </w:rPr>
        <w:t>三、投标报价明细表</w:t>
      </w:r>
    </w:p>
    <w:p w14:paraId="07975200">
      <w:pPr>
        <w:snapToGrid w:val="0"/>
        <w:rPr>
          <w:rFonts w:ascii="Times New Roman" w:hAnsi="Times New Roman" w:eastAsia="宋体" w:cs="Times New Roman"/>
          <w:b/>
          <w:sz w:val="28"/>
        </w:rPr>
      </w:pPr>
    </w:p>
    <w:p w14:paraId="4E48B6F4">
      <w:pPr>
        <w:snapToGrid w:val="0"/>
        <w:rPr>
          <w:rFonts w:ascii="Times New Roman" w:hAnsi="Times New Roman" w:eastAsia="宋体" w:cs="Times New Roman"/>
          <w:szCs w:val="21"/>
        </w:rPr>
      </w:pPr>
      <w:r>
        <w:rPr>
          <w:rFonts w:hint="eastAsia" w:ascii="Times New Roman" w:hAnsi="Times New Roman" w:eastAsia="宋体" w:cs="Times New Roman"/>
          <w:szCs w:val="21"/>
        </w:rPr>
        <w:t>项目名称：                                           金额单位：人民币（元）</w:t>
      </w:r>
    </w:p>
    <w:p w14:paraId="19418D96">
      <w:pPr>
        <w:snapToGrid w:val="0"/>
        <w:spacing w:before="120" w:beforeLines="50" w:after="120"/>
        <w:rPr>
          <w:rFonts w:ascii="Times New Roman" w:hAnsi="Times New Roman" w:eastAsia="宋体" w:cs="Times New Roman"/>
          <w:szCs w:val="21"/>
        </w:rPr>
      </w:pPr>
      <w:r>
        <w:rPr>
          <w:rFonts w:hint="eastAsia" w:ascii="Times New Roman" w:hAnsi="Times New Roman" w:eastAsia="宋体" w:cs="Times New Roman"/>
          <w:szCs w:val="21"/>
        </w:rPr>
        <w:t>项目编号：</w:t>
      </w:r>
    </w:p>
    <w:tbl>
      <w:tblPr>
        <w:tblStyle w:val="61"/>
        <w:tblW w:w="9540"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2"/>
        <w:gridCol w:w="2832"/>
        <w:gridCol w:w="889"/>
        <w:gridCol w:w="1290"/>
        <w:gridCol w:w="920"/>
        <w:gridCol w:w="920"/>
        <w:gridCol w:w="925"/>
        <w:gridCol w:w="1092"/>
      </w:tblGrid>
      <w:tr w14:paraId="6C2747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197FF8AB">
            <w:pPr>
              <w:tabs>
                <w:tab w:val="left" w:pos="1418"/>
              </w:tabs>
              <w:snapToGrid w:val="0"/>
              <w:spacing w:before="50" w:after="50"/>
              <w:jc w:val="center"/>
              <w:rPr>
                <w:rFonts w:ascii="Times New Roman" w:hAnsi="Times New Roman" w:eastAsia="宋体" w:cs="Times New Roman"/>
                <w:spacing w:val="20"/>
              </w:rPr>
            </w:pPr>
            <w:r>
              <w:rPr>
                <w:rFonts w:hint="eastAsia" w:ascii="Times New Roman" w:hAnsi="Times New Roman" w:eastAsia="宋体" w:cs="Times New Roman"/>
              </w:rPr>
              <w:t>序号</w:t>
            </w:r>
          </w:p>
        </w:tc>
        <w:tc>
          <w:tcPr>
            <w:tcW w:w="2832" w:type="dxa"/>
            <w:tcBorders>
              <w:top w:val="single" w:color="auto" w:sz="4" w:space="0"/>
              <w:left w:val="single" w:color="auto" w:sz="4" w:space="0"/>
              <w:bottom w:val="single" w:color="auto" w:sz="4" w:space="0"/>
              <w:right w:val="single" w:color="auto" w:sz="4" w:space="0"/>
            </w:tcBorders>
            <w:vAlign w:val="center"/>
          </w:tcPr>
          <w:p w14:paraId="4EAEF122">
            <w:pPr>
              <w:tabs>
                <w:tab w:val="left" w:pos="1418"/>
              </w:tabs>
              <w:snapToGrid w:val="0"/>
              <w:spacing w:before="50" w:after="50"/>
              <w:jc w:val="center"/>
              <w:rPr>
                <w:rFonts w:ascii="Times New Roman" w:hAnsi="Times New Roman" w:eastAsia="宋体" w:cs="Times New Roman"/>
                <w:spacing w:val="20"/>
              </w:rPr>
            </w:pPr>
            <w:r>
              <w:rPr>
                <w:rFonts w:hint="eastAsia" w:ascii="Times New Roman" w:hAnsi="Times New Roman" w:eastAsia="宋体" w:cs="Times New Roman"/>
              </w:rPr>
              <w:t>名称</w:t>
            </w:r>
          </w:p>
        </w:tc>
        <w:tc>
          <w:tcPr>
            <w:tcW w:w="889" w:type="dxa"/>
            <w:tcBorders>
              <w:top w:val="single" w:color="auto" w:sz="4" w:space="0"/>
              <w:left w:val="single" w:color="auto" w:sz="4" w:space="0"/>
              <w:bottom w:val="single" w:color="auto" w:sz="4" w:space="0"/>
              <w:right w:val="single" w:color="auto" w:sz="4" w:space="0"/>
            </w:tcBorders>
            <w:vAlign w:val="center"/>
          </w:tcPr>
          <w:p w14:paraId="11460914">
            <w:pPr>
              <w:tabs>
                <w:tab w:val="left" w:pos="1418"/>
              </w:tabs>
              <w:snapToGrid w:val="0"/>
              <w:spacing w:before="50" w:after="50"/>
              <w:jc w:val="center"/>
              <w:rPr>
                <w:rFonts w:hint="eastAsia" w:ascii="宋体" w:hAnsi="宋体" w:eastAsia="宋体" w:cs="宋体"/>
                <w:spacing w:val="-20"/>
                <w:kern w:val="0"/>
              </w:rPr>
            </w:pPr>
            <w:r>
              <w:rPr>
                <w:rFonts w:hint="eastAsia" w:ascii="宋体" w:hAnsi="宋体" w:eastAsia="宋体" w:cs="宋体"/>
                <w:kern w:val="0"/>
              </w:rPr>
              <w:t>品牌</w:t>
            </w:r>
          </w:p>
        </w:tc>
        <w:tc>
          <w:tcPr>
            <w:tcW w:w="1290" w:type="dxa"/>
            <w:tcBorders>
              <w:top w:val="single" w:color="auto" w:sz="4" w:space="0"/>
              <w:left w:val="single" w:color="auto" w:sz="4" w:space="0"/>
              <w:bottom w:val="single" w:color="auto" w:sz="4" w:space="0"/>
              <w:right w:val="single" w:color="auto" w:sz="4" w:space="0"/>
            </w:tcBorders>
            <w:vAlign w:val="center"/>
          </w:tcPr>
          <w:p w14:paraId="113E225A">
            <w:pPr>
              <w:tabs>
                <w:tab w:val="left" w:pos="1418"/>
              </w:tabs>
              <w:snapToGrid w:val="0"/>
              <w:spacing w:before="50" w:after="50"/>
              <w:jc w:val="center"/>
              <w:rPr>
                <w:rFonts w:hint="eastAsia" w:ascii="宋体" w:hAnsi="宋体" w:eastAsia="宋体" w:cs="宋体"/>
                <w:spacing w:val="20"/>
              </w:rPr>
            </w:pPr>
            <w:r>
              <w:rPr>
                <w:rFonts w:hint="eastAsia" w:ascii="宋体" w:hAnsi="宋体" w:eastAsia="宋体" w:cs="宋体"/>
                <w:spacing w:val="20"/>
              </w:rPr>
              <w:t>规格型号</w:t>
            </w:r>
          </w:p>
        </w:tc>
        <w:tc>
          <w:tcPr>
            <w:tcW w:w="920" w:type="dxa"/>
            <w:tcBorders>
              <w:top w:val="single" w:color="auto" w:sz="4" w:space="0"/>
              <w:left w:val="single" w:color="auto" w:sz="4" w:space="0"/>
              <w:bottom w:val="single" w:color="auto" w:sz="4" w:space="0"/>
              <w:right w:val="single" w:color="auto" w:sz="4" w:space="0"/>
            </w:tcBorders>
            <w:vAlign w:val="center"/>
          </w:tcPr>
          <w:p w14:paraId="15581C18">
            <w:pPr>
              <w:tabs>
                <w:tab w:val="left" w:pos="1418"/>
              </w:tabs>
              <w:snapToGrid w:val="0"/>
              <w:spacing w:before="50" w:after="50"/>
              <w:jc w:val="center"/>
              <w:rPr>
                <w:rFonts w:hint="eastAsia" w:ascii="宋体" w:hAnsi="宋体" w:eastAsia="宋体" w:cs="宋体"/>
                <w:spacing w:val="20"/>
              </w:rPr>
            </w:pPr>
            <w:r>
              <w:rPr>
                <w:rFonts w:hint="eastAsia" w:ascii="宋体" w:hAnsi="宋体" w:eastAsia="宋体" w:cs="宋体"/>
                <w:spacing w:val="20"/>
              </w:rPr>
              <w:t>产地</w:t>
            </w:r>
          </w:p>
        </w:tc>
        <w:tc>
          <w:tcPr>
            <w:tcW w:w="920" w:type="dxa"/>
            <w:tcBorders>
              <w:top w:val="single" w:color="auto" w:sz="4" w:space="0"/>
              <w:left w:val="single" w:color="auto" w:sz="4" w:space="0"/>
              <w:bottom w:val="single" w:color="auto" w:sz="4" w:space="0"/>
              <w:right w:val="single" w:color="auto" w:sz="4" w:space="0"/>
            </w:tcBorders>
            <w:vAlign w:val="center"/>
          </w:tcPr>
          <w:p w14:paraId="3564BDCA">
            <w:pPr>
              <w:tabs>
                <w:tab w:val="left" w:pos="1418"/>
              </w:tabs>
              <w:snapToGrid w:val="0"/>
              <w:spacing w:before="50" w:after="50"/>
              <w:jc w:val="center"/>
              <w:rPr>
                <w:rFonts w:hint="eastAsia" w:ascii="Times New Roman" w:hAnsi="Times New Roman" w:eastAsia="宋体" w:cs="Times New Roman"/>
                <w:spacing w:val="20"/>
                <w:lang w:val="en-US" w:eastAsia="zh-CN"/>
              </w:rPr>
            </w:pPr>
            <w:r>
              <w:rPr>
                <w:rFonts w:hint="eastAsia" w:ascii="Times New Roman" w:hAnsi="Times New Roman" w:eastAsia="宋体" w:cs="Times New Roman"/>
              </w:rPr>
              <w:t>单价</w:t>
            </w:r>
            <w:r>
              <w:rPr>
                <w:rFonts w:hint="eastAsia" w:ascii="Times New Roman" w:hAnsi="Times New Roman" w:eastAsia="宋体" w:cs="Times New Roman"/>
                <w:lang w:val="en-US" w:eastAsia="zh-CN"/>
              </w:rPr>
              <w:t xml:space="preserve"> </w:t>
            </w:r>
          </w:p>
        </w:tc>
        <w:tc>
          <w:tcPr>
            <w:tcW w:w="925" w:type="dxa"/>
            <w:tcBorders>
              <w:top w:val="single" w:color="auto" w:sz="4" w:space="0"/>
              <w:left w:val="single" w:color="auto" w:sz="4" w:space="0"/>
              <w:bottom w:val="single" w:color="auto" w:sz="4" w:space="0"/>
              <w:right w:val="single" w:color="auto" w:sz="4" w:space="0"/>
            </w:tcBorders>
            <w:vAlign w:val="center"/>
          </w:tcPr>
          <w:p w14:paraId="52487F42">
            <w:pPr>
              <w:tabs>
                <w:tab w:val="left" w:pos="1418"/>
              </w:tabs>
              <w:snapToGrid w:val="0"/>
              <w:spacing w:before="50" w:after="50"/>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数量</w:t>
            </w:r>
          </w:p>
        </w:tc>
        <w:tc>
          <w:tcPr>
            <w:tcW w:w="1092" w:type="dxa"/>
            <w:tcBorders>
              <w:top w:val="single" w:color="auto" w:sz="4" w:space="0"/>
              <w:left w:val="single" w:color="auto" w:sz="4" w:space="0"/>
              <w:bottom w:val="single" w:color="auto" w:sz="4" w:space="0"/>
              <w:right w:val="single" w:color="auto" w:sz="4" w:space="0"/>
            </w:tcBorders>
            <w:vAlign w:val="center"/>
          </w:tcPr>
          <w:p w14:paraId="4F4440AF">
            <w:pPr>
              <w:tabs>
                <w:tab w:val="left" w:pos="1418"/>
              </w:tabs>
              <w:snapToGrid w:val="0"/>
              <w:spacing w:before="50" w:after="50"/>
              <w:jc w:val="center"/>
              <w:rPr>
                <w:rFonts w:ascii="Times New Roman" w:hAnsi="Times New Roman" w:eastAsia="宋体" w:cs="Times New Roman"/>
                <w:spacing w:val="20"/>
              </w:rPr>
            </w:pPr>
            <w:r>
              <w:rPr>
                <w:rFonts w:hint="eastAsia" w:ascii="Times New Roman" w:hAnsi="Times New Roman" w:eastAsia="宋体" w:cs="Times New Roman"/>
              </w:rPr>
              <w:t>合价</w:t>
            </w:r>
          </w:p>
        </w:tc>
      </w:tr>
      <w:tr w14:paraId="14FF41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13CEB51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w:t>
            </w:r>
          </w:p>
        </w:tc>
        <w:tc>
          <w:tcPr>
            <w:tcW w:w="2832" w:type="dxa"/>
            <w:tcBorders>
              <w:top w:val="single" w:color="auto" w:sz="4" w:space="0"/>
              <w:left w:val="single" w:color="auto" w:sz="4" w:space="0"/>
              <w:bottom w:val="single" w:color="auto" w:sz="4" w:space="0"/>
              <w:right w:val="single" w:color="auto" w:sz="4" w:space="0"/>
            </w:tcBorders>
            <w:vAlign w:val="center"/>
          </w:tcPr>
          <w:p w14:paraId="299E653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盐度计</w:t>
            </w:r>
          </w:p>
        </w:tc>
        <w:tc>
          <w:tcPr>
            <w:tcW w:w="889" w:type="dxa"/>
            <w:tcBorders>
              <w:top w:val="single" w:color="auto" w:sz="4" w:space="0"/>
              <w:left w:val="single" w:color="auto" w:sz="4" w:space="0"/>
              <w:bottom w:val="single" w:color="auto" w:sz="4" w:space="0"/>
              <w:right w:val="single" w:color="auto" w:sz="4" w:space="0"/>
            </w:tcBorders>
          </w:tcPr>
          <w:p w14:paraId="6956DB29">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243A648C">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44AD7B58">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3A6FD32">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7B54DE3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15A70994">
            <w:pPr>
              <w:tabs>
                <w:tab w:val="left" w:pos="1418"/>
              </w:tabs>
              <w:snapToGrid w:val="0"/>
              <w:spacing w:before="50" w:after="50"/>
              <w:jc w:val="center"/>
              <w:rPr>
                <w:rFonts w:ascii="Times New Roman" w:hAnsi="Times New Roman" w:eastAsia="宋体" w:cs="Times New Roman"/>
                <w:spacing w:val="20"/>
              </w:rPr>
            </w:pPr>
          </w:p>
        </w:tc>
      </w:tr>
      <w:tr w14:paraId="7D9A95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0B6B416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2</w:t>
            </w:r>
          </w:p>
        </w:tc>
        <w:tc>
          <w:tcPr>
            <w:tcW w:w="2832" w:type="dxa"/>
            <w:tcBorders>
              <w:top w:val="single" w:color="auto" w:sz="4" w:space="0"/>
              <w:left w:val="single" w:color="auto" w:sz="4" w:space="0"/>
              <w:bottom w:val="single" w:color="auto" w:sz="4" w:space="0"/>
              <w:right w:val="single" w:color="auto" w:sz="4" w:space="0"/>
            </w:tcBorders>
            <w:vAlign w:val="center"/>
          </w:tcPr>
          <w:p w14:paraId="4B8B6E1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无人机采样模块</w:t>
            </w:r>
          </w:p>
        </w:tc>
        <w:tc>
          <w:tcPr>
            <w:tcW w:w="889" w:type="dxa"/>
            <w:tcBorders>
              <w:top w:val="single" w:color="auto" w:sz="4" w:space="0"/>
              <w:left w:val="single" w:color="auto" w:sz="4" w:space="0"/>
              <w:bottom w:val="single" w:color="auto" w:sz="4" w:space="0"/>
              <w:right w:val="single" w:color="auto" w:sz="4" w:space="0"/>
            </w:tcBorders>
          </w:tcPr>
          <w:p w14:paraId="5BC9BE22">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7254E31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4933ED58">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31228D60">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00EB929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254A0F9C">
            <w:pPr>
              <w:tabs>
                <w:tab w:val="left" w:pos="1418"/>
              </w:tabs>
              <w:snapToGrid w:val="0"/>
              <w:spacing w:before="50" w:after="50"/>
              <w:jc w:val="center"/>
              <w:rPr>
                <w:rFonts w:ascii="Times New Roman" w:hAnsi="Times New Roman" w:eastAsia="宋体" w:cs="Times New Roman"/>
                <w:spacing w:val="20"/>
              </w:rPr>
            </w:pPr>
          </w:p>
        </w:tc>
      </w:tr>
      <w:tr w14:paraId="06D25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2B3A143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3</w:t>
            </w:r>
          </w:p>
        </w:tc>
        <w:tc>
          <w:tcPr>
            <w:tcW w:w="2832" w:type="dxa"/>
            <w:tcBorders>
              <w:top w:val="single" w:color="auto" w:sz="4" w:space="0"/>
              <w:left w:val="single" w:color="auto" w:sz="4" w:space="0"/>
              <w:bottom w:val="single" w:color="auto" w:sz="4" w:space="0"/>
              <w:right w:val="single" w:color="auto" w:sz="4" w:space="0"/>
            </w:tcBorders>
            <w:vAlign w:val="center"/>
          </w:tcPr>
          <w:p w14:paraId="5C83553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凯氏定氮仪自动进样仪</w:t>
            </w:r>
          </w:p>
        </w:tc>
        <w:tc>
          <w:tcPr>
            <w:tcW w:w="889" w:type="dxa"/>
            <w:tcBorders>
              <w:top w:val="single" w:color="auto" w:sz="4" w:space="0"/>
              <w:left w:val="single" w:color="auto" w:sz="4" w:space="0"/>
              <w:bottom w:val="single" w:color="auto" w:sz="4" w:space="0"/>
              <w:right w:val="single" w:color="auto" w:sz="4" w:space="0"/>
            </w:tcBorders>
          </w:tcPr>
          <w:p w14:paraId="5D9F4C7A">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64E49A58">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B1D739E">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6F8BF79">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0AFF29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73B63015">
            <w:pPr>
              <w:tabs>
                <w:tab w:val="left" w:pos="1418"/>
              </w:tabs>
              <w:snapToGrid w:val="0"/>
              <w:spacing w:before="50" w:after="50"/>
              <w:jc w:val="center"/>
              <w:rPr>
                <w:rFonts w:ascii="Times New Roman" w:hAnsi="Times New Roman" w:eastAsia="宋体" w:cs="Times New Roman"/>
                <w:spacing w:val="20"/>
              </w:rPr>
            </w:pPr>
          </w:p>
        </w:tc>
      </w:tr>
      <w:tr w14:paraId="2E9389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1AE36AF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4</w:t>
            </w:r>
          </w:p>
        </w:tc>
        <w:tc>
          <w:tcPr>
            <w:tcW w:w="2832" w:type="dxa"/>
            <w:tcBorders>
              <w:top w:val="single" w:color="auto" w:sz="4" w:space="0"/>
              <w:left w:val="single" w:color="auto" w:sz="4" w:space="0"/>
              <w:bottom w:val="single" w:color="auto" w:sz="4" w:space="0"/>
              <w:right w:val="single" w:color="auto" w:sz="4" w:space="0"/>
            </w:tcBorders>
            <w:vAlign w:val="center"/>
          </w:tcPr>
          <w:p w14:paraId="267C13D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振荡器</w:t>
            </w:r>
          </w:p>
        </w:tc>
        <w:tc>
          <w:tcPr>
            <w:tcW w:w="889" w:type="dxa"/>
            <w:tcBorders>
              <w:top w:val="single" w:color="auto" w:sz="4" w:space="0"/>
              <w:left w:val="single" w:color="auto" w:sz="4" w:space="0"/>
              <w:bottom w:val="single" w:color="auto" w:sz="4" w:space="0"/>
              <w:right w:val="single" w:color="auto" w:sz="4" w:space="0"/>
            </w:tcBorders>
          </w:tcPr>
          <w:p w14:paraId="4948AC98">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2EF9057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7BE2435">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6D6F067D">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3683E7B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52FAAC7A">
            <w:pPr>
              <w:tabs>
                <w:tab w:val="left" w:pos="1418"/>
              </w:tabs>
              <w:snapToGrid w:val="0"/>
              <w:spacing w:before="50" w:after="50"/>
              <w:jc w:val="center"/>
              <w:rPr>
                <w:rFonts w:ascii="Times New Roman" w:hAnsi="Times New Roman" w:eastAsia="宋体" w:cs="Times New Roman"/>
                <w:spacing w:val="20"/>
              </w:rPr>
            </w:pPr>
          </w:p>
        </w:tc>
      </w:tr>
      <w:tr w14:paraId="7F7483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1A9712B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5</w:t>
            </w:r>
          </w:p>
        </w:tc>
        <w:tc>
          <w:tcPr>
            <w:tcW w:w="2832" w:type="dxa"/>
            <w:tcBorders>
              <w:top w:val="single" w:color="auto" w:sz="4" w:space="0"/>
              <w:left w:val="single" w:color="auto" w:sz="4" w:space="0"/>
              <w:bottom w:val="single" w:color="auto" w:sz="4" w:space="0"/>
              <w:right w:val="single" w:color="auto" w:sz="4" w:space="0"/>
            </w:tcBorders>
            <w:vAlign w:val="center"/>
          </w:tcPr>
          <w:p w14:paraId="6762E6F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多参数水质仪</w:t>
            </w:r>
          </w:p>
        </w:tc>
        <w:tc>
          <w:tcPr>
            <w:tcW w:w="889" w:type="dxa"/>
            <w:tcBorders>
              <w:top w:val="single" w:color="auto" w:sz="4" w:space="0"/>
              <w:left w:val="single" w:color="auto" w:sz="4" w:space="0"/>
              <w:bottom w:val="single" w:color="auto" w:sz="4" w:space="0"/>
              <w:right w:val="single" w:color="auto" w:sz="4" w:space="0"/>
            </w:tcBorders>
          </w:tcPr>
          <w:p w14:paraId="5337B148">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256A9CFE">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050B1E48">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64EDC9D4">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14C2A2B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2</w:t>
            </w:r>
          </w:p>
        </w:tc>
        <w:tc>
          <w:tcPr>
            <w:tcW w:w="1092" w:type="dxa"/>
            <w:tcBorders>
              <w:top w:val="single" w:color="auto" w:sz="4" w:space="0"/>
              <w:left w:val="single" w:color="auto" w:sz="4" w:space="0"/>
              <w:bottom w:val="single" w:color="auto" w:sz="4" w:space="0"/>
              <w:right w:val="single" w:color="auto" w:sz="4" w:space="0"/>
            </w:tcBorders>
          </w:tcPr>
          <w:p w14:paraId="2DC79FA9">
            <w:pPr>
              <w:tabs>
                <w:tab w:val="left" w:pos="1418"/>
              </w:tabs>
              <w:snapToGrid w:val="0"/>
              <w:spacing w:before="50" w:after="50"/>
              <w:jc w:val="center"/>
              <w:rPr>
                <w:rFonts w:ascii="Times New Roman" w:hAnsi="Times New Roman" w:eastAsia="宋体" w:cs="Times New Roman"/>
                <w:spacing w:val="20"/>
              </w:rPr>
            </w:pPr>
          </w:p>
        </w:tc>
      </w:tr>
      <w:tr w14:paraId="5DC63D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60C3288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6</w:t>
            </w:r>
          </w:p>
        </w:tc>
        <w:tc>
          <w:tcPr>
            <w:tcW w:w="2832" w:type="dxa"/>
            <w:tcBorders>
              <w:top w:val="single" w:color="auto" w:sz="4" w:space="0"/>
              <w:left w:val="single" w:color="auto" w:sz="4" w:space="0"/>
              <w:bottom w:val="single" w:color="auto" w:sz="4" w:space="0"/>
              <w:right w:val="single" w:color="auto" w:sz="4" w:space="0"/>
            </w:tcBorders>
            <w:vAlign w:val="center"/>
          </w:tcPr>
          <w:p w14:paraId="26F2F3A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气象参数测定仪</w:t>
            </w:r>
          </w:p>
        </w:tc>
        <w:tc>
          <w:tcPr>
            <w:tcW w:w="889" w:type="dxa"/>
            <w:tcBorders>
              <w:top w:val="single" w:color="auto" w:sz="4" w:space="0"/>
              <w:left w:val="single" w:color="auto" w:sz="4" w:space="0"/>
              <w:bottom w:val="single" w:color="auto" w:sz="4" w:space="0"/>
              <w:right w:val="single" w:color="auto" w:sz="4" w:space="0"/>
            </w:tcBorders>
          </w:tcPr>
          <w:p w14:paraId="551B9853">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2ABD3A0A">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6A2F375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640E2D53">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7C7E7CB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2</w:t>
            </w:r>
          </w:p>
        </w:tc>
        <w:tc>
          <w:tcPr>
            <w:tcW w:w="1092" w:type="dxa"/>
            <w:tcBorders>
              <w:top w:val="single" w:color="auto" w:sz="4" w:space="0"/>
              <w:left w:val="single" w:color="auto" w:sz="4" w:space="0"/>
              <w:bottom w:val="single" w:color="auto" w:sz="4" w:space="0"/>
              <w:right w:val="single" w:color="auto" w:sz="4" w:space="0"/>
            </w:tcBorders>
          </w:tcPr>
          <w:p w14:paraId="2B8FF46F">
            <w:pPr>
              <w:tabs>
                <w:tab w:val="left" w:pos="1418"/>
              </w:tabs>
              <w:snapToGrid w:val="0"/>
              <w:spacing w:before="50" w:after="50"/>
              <w:jc w:val="center"/>
              <w:rPr>
                <w:rFonts w:ascii="Times New Roman" w:hAnsi="Times New Roman" w:eastAsia="宋体" w:cs="Times New Roman"/>
                <w:spacing w:val="20"/>
              </w:rPr>
            </w:pPr>
          </w:p>
        </w:tc>
      </w:tr>
      <w:tr w14:paraId="23531F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7544702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7</w:t>
            </w:r>
          </w:p>
        </w:tc>
        <w:tc>
          <w:tcPr>
            <w:tcW w:w="2832" w:type="dxa"/>
            <w:tcBorders>
              <w:top w:val="single" w:color="auto" w:sz="4" w:space="0"/>
              <w:left w:val="single" w:color="auto" w:sz="4" w:space="0"/>
              <w:bottom w:val="single" w:color="auto" w:sz="4" w:space="0"/>
              <w:right w:val="single" w:color="auto" w:sz="4" w:space="0"/>
            </w:tcBorders>
            <w:vAlign w:val="center"/>
          </w:tcPr>
          <w:p w14:paraId="021B25F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智能多通道颗粒物采样器</w:t>
            </w:r>
          </w:p>
        </w:tc>
        <w:tc>
          <w:tcPr>
            <w:tcW w:w="889" w:type="dxa"/>
            <w:tcBorders>
              <w:top w:val="single" w:color="auto" w:sz="4" w:space="0"/>
              <w:left w:val="single" w:color="auto" w:sz="4" w:space="0"/>
              <w:bottom w:val="single" w:color="auto" w:sz="4" w:space="0"/>
              <w:right w:val="single" w:color="auto" w:sz="4" w:space="0"/>
            </w:tcBorders>
          </w:tcPr>
          <w:p w14:paraId="46A47213">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36BBB91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2446C12B">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F9CACBD">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7B798DF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2</w:t>
            </w:r>
          </w:p>
        </w:tc>
        <w:tc>
          <w:tcPr>
            <w:tcW w:w="1092" w:type="dxa"/>
            <w:tcBorders>
              <w:top w:val="single" w:color="auto" w:sz="4" w:space="0"/>
              <w:left w:val="single" w:color="auto" w:sz="4" w:space="0"/>
              <w:bottom w:val="single" w:color="auto" w:sz="4" w:space="0"/>
              <w:right w:val="single" w:color="auto" w:sz="4" w:space="0"/>
            </w:tcBorders>
          </w:tcPr>
          <w:p w14:paraId="45FD4E14">
            <w:pPr>
              <w:tabs>
                <w:tab w:val="left" w:pos="1418"/>
              </w:tabs>
              <w:snapToGrid w:val="0"/>
              <w:spacing w:before="50" w:after="50"/>
              <w:jc w:val="center"/>
              <w:rPr>
                <w:rFonts w:ascii="Times New Roman" w:hAnsi="Times New Roman" w:eastAsia="宋体" w:cs="Times New Roman"/>
                <w:spacing w:val="20"/>
              </w:rPr>
            </w:pPr>
          </w:p>
        </w:tc>
      </w:tr>
      <w:tr w14:paraId="239C5A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16757EB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8</w:t>
            </w:r>
          </w:p>
        </w:tc>
        <w:tc>
          <w:tcPr>
            <w:tcW w:w="2832" w:type="dxa"/>
            <w:tcBorders>
              <w:top w:val="single" w:color="auto" w:sz="4" w:space="0"/>
              <w:left w:val="single" w:color="auto" w:sz="4" w:space="0"/>
              <w:bottom w:val="single" w:color="auto" w:sz="4" w:space="0"/>
              <w:right w:val="single" w:color="auto" w:sz="4" w:space="0"/>
            </w:tcBorders>
            <w:vAlign w:val="center"/>
          </w:tcPr>
          <w:p w14:paraId="4595A84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小无人机</w:t>
            </w:r>
          </w:p>
        </w:tc>
        <w:tc>
          <w:tcPr>
            <w:tcW w:w="889" w:type="dxa"/>
            <w:tcBorders>
              <w:top w:val="single" w:color="auto" w:sz="4" w:space="0"/>
              <w:left w:val="single" w:color="auto" w:sz="4" w:space="0"/>
              <w:bottom w:val="single" w:color="auto" w:sz="4" w:space="0"/>
              <w:right w:val="single" w:color="auto" w:sz="4" w:space="0"/>
            </w:tcBorders>
          </w:tcPr>
          <w:p w14:paraId="4B2062F0">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78E4C7A5">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388F8FA4">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5879ACA2">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511383C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19BA797F">
            <w:pPr>
              <w:tabs>
                <w:tab w:val="left" w:pos="1418"/>
              </w:tabs>
              <w:snapToGrid w:val="0"/>
              <w:spacing w:before="50" w:after="50"/>
              <w:jc w:val="center"/>
              <w:rPr>
                <w:rFonts w:ascii="Times New Roman" w:hAnsi="Times New Roman" w:eastAsia="宋体" w:cs="Times New Roman"/>
                <w:spacing w:val="20"/>
              </w:rPr>
            </w:pPr>
          </w:p>
        </w:tc>
      </w:tr>
      <w:tr w14:paraId="294BA0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36AC363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9</w:t>
            </w:r>
          </w:p>
        </w:tc>
        <w:tc>
          <w:tcPr>
            <w:tcW w:w="2832" w:type="dxa"/>
            <w:tcBorders>
              <w:top w:val="single" w:color="auto" w:sz="4" w:space="0"/>
              <w:left w:val="single" w:color="auto" w:sz="4" w:space="0"/>
              <w:bottom w:val="single" w:color="auto" w:sz="4" w:space="0"/>
              <w:right w:val="single" w:color="auto" w:sz="4" w:space="0"/>
            </w:tcBorders>
            <w:vAlign w:val="center"/>
          </w:tcPr>
          <w:p w14:paraId="50A40B0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热释光测量系统</w:t>
            </w:r>
          </w:p>
        </w:tc>
        <w:tc>
          <w:tcPr>
            <w:tcW w:w="889" w:type="dxa"/>
            <w:tcBorders>
              <w:top w:val="single" w:color="auto" w:sz="4" w:space="0"/>
              <w:left w:val="single" w:color="auto" w:sz="4" w:space="0"/>
              <w:bottom w:val="single" w:color="auto" w:sz="4" w:space="0"/>
              <w:right w:val="single" w:color="auto" w:sz="4" w:space="0"/>
            </w:tcBorders>
          </w:tcPr>
          <w:p w14:paraId="4FFC841E">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2EA06B2A">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4FE071B3">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CC7B91C">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7D5A0B9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231C14D0">
            <w:pPr>
              <w:tabs>
                <w:tab w:val="left" w:pos="1418"/>
              </w:tabs>
              <w:snapToGrid w:val="0"/>
              <w:spacing w:before="50" w:after="50"/>
              <w:jc w:val="center"/>
              <w:rPr>
                <w:rFonts w:ascii="Times New Roman" w:hAnsi="Times New Roman" w:eastAsia="宋体" w:cs="Times New Roman"/>
                <w:spacing w:val="20"/>
              </w:rPr>
            </w:pPr>
          </w:p>
        </w:tc>
      </w:tr>
      <w:tr w14:paraId="3A164F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5DA4557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10</w:t>
            </w:r>
          </w:p>
        </w:tc>
        <w:tc>
          <w:tcPr>
            <w:tcW w:w="2832" w:type="dxa"/>
            <w:tcBorders>
              <w:top w:val="single" w:color="auto" w:sz="4" w:space="0"/>
              <w:left w:val="single" w:color="auto" w:sz="4" w:space="0"/>
              <w:bottom w:val="single" w:color="auto" w:sz="4" w:space="0"/>
              <w:right w:val="single" w:color="auto" w:sz="4" w:space="0"/>
            </w:tcBorders>
            <w:vAlign w:val="center"/>
          </w:tcPr>
          <w:p w14:paraId="75EA4FD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辐射防护装备</w:t>
            </w:r>
          </w:p>
        </w:tc>
        <w:tc>
          <w:tcPr>
            <w:tcW w:w="889" w:type="dxa"/>
            <w:tcBorders>
              <w:top w:val="single" w:color="auto" w:sz="4" w:space="0"/>
              <w:left w:val="single" w:color="auto" w:sz="4" w:space="0"/>
              <w:bottom w:val="single" w:color="auto" w:sz="4" w:space="0"/>
              <w:right w:val="single" w:color="auto" w:sz="4" w:space="0"/>
            </w:tcBorders>
          </w:tcPr>
          <w:p w14:paraId="5E5332C9">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17DB267C">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A0393D1">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6AA6113">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4B34048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2</w:t>
            </w:r>
          </w:p>
        </w:tc>
        <w:tc>
          <w:tcPr>
            <w:tcW w:w="1092" w:type="dxa"/>
            <w:tcBorders>
              <w:top w:val="single" w:color="auto" w:sz="4" w:space="0"/>
              <w:left w:val="single" w:color="auto" w:sz="4" w:space="0"/>
              <w:bottom w:val="single" w:color="auto" w:sz="4" w:space="0"/>
              <w:right w:val="single" w:color="auto" w:sz="4" w:space="0"/>
            </w:tcBorders>
          </w:tcPr>
          <w:p w14:paraId="11B40C8D">
            <w:pPr>
              <w:tabs>
                <w:tab w:val="left" w:pos="1418"/>
              </w:tabs>
              <w:snapToGrid w:val="0"/>
              <w:spacing w:before="50" w:after="50"/>
              <w:jc w:val="center"/>
              <w:rPr>
                <w:rFonts w:ascii="Times New Roman" w:hAnsi="Times New Roman" w:eastAsia="宋体" w:cs="Times New Roman"/>
                <w:spacing w:val="20"/>
              </w:rPr>
            </w:pPr>
          </w:p>
        </w:tc>
      </w:tr>
      <w:tr w14:paraId="3D2953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3F1E9CE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11</w:t>
            </w:r>
          </w:p>
        </w:tc>
        <w:tc>
          <w:tcPr>
            <w:tcW w:w="2832" w:type="dxa"/>
            <w:tcBorders>
              <w:top w:val="single" w:color="auto" w:sz="4" w:space="0"/>
              <w:left w:val="single" w:color="auto" w:sz="4" w:space="0"/>
              <w:bottom w:val="single" w:color="auto" w:sz="4" w:space="0"/>
              <w:right w:val="single" w:color="auto" w:sz="4" w:space="0"/>
            </w:tcBorders>
            <w:vAlign w:val="center"/>
          </w:tcPr>
          <w:p w14:paraId="5299AE0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离子计</w:t>
            </w:r>
          </w:p>
        </w:tc>
        <w:tc>
          <w:tcPr>
            <w:tcW w:w="889" w:type="dxa"/>
            <w:tcBorders>
              <w:top w:val="single" w:color="auto" w:sz="4" w:space="0"/>
              <w:left w:val="single" w:color="auto" w:sz="4" w:space="0"/>
              <w:bottom w:val="single" w:color="auto" w:sz="4" w:space="0"/>
              <w:right w:val="single" w:color="auto" w:sz="4" w:space="0"/>
            </w:tcBorders>
          </w:tcPr>
          <w:p w14:paraId="5C66173F">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39F8056F">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0DD1E45B">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4F778B87">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1E8AD32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36F990AF">
            <w:pPr>
              <w:tabs>
                <w:tab w:val="left" w:pos="1418"/>
              </w:tabs>
              <w:snapToGrid w:val="0"/>
              <w:spacing w:before="50" w:after="50"/>
              <w:jc w:val="center"/>
              <w:rPr>
                <w:rFonts w:ascii="Times New Roman" w:hAnsi="Times New Roman" w:eastAsia="宋体" w:cs="Times New Roman"/>
                <w:spacing w:val="20"/>
              </w:rPr>
            </w:pPr>
          </w:p>
        </w:tc>
      </w:tr>
      <w:tr w14:paraId="33023D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1BF0200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12</w:t>
            </w:r>
          </w:p>
        </w:tc>
        <w:tc>
          <w:tcPr>
            <w:tcW w:w="2832" w:type="dxa"/>
            <w:tcBorders>
              <w:top w:val="single" w:color="auto" w:sz="4" w:space="0"/>
              <w:left w:val="single" w:color="auto" w:sz="4" w:space="0"/>
              <w:bottom w:val="single" w:color="auto" w:sz="4" w:space="0"/>
              <w:right w:val="single" w:color="auto" w:sz="4" w:space="0"/>
            </w:tcBorders>
            <w:vAlign w:val="center"/>
          </w:tcPr>
          <w:p w14:paraId="5E30F0E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测氡仪</w:t>
            </w:r>
          </w:p>
        </w:tc>
        <w:tc>
          <w:tcPr>
            <w:tcW w:w="889" w:type="dxa"/>
            <w:tcBorders>
              <w:top w:val="single" w:color="auto" w:sz="4" w:space="0"/>
              <w:left w:val="single" w:color="auto" w:sz="4" w:space="0"/>
              <w:bottom w:val="single" w:color="auto" w:sz="4" w:space="0"/>
              <w:right w:val="single" w:color="auto" w:sz="4" w:space="0"/>
            </w:tcBorders>
          </w:tcPr>
          <w:p w14:paraId="34A9B2BA">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6E850088">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2268A2F8">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47757344">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01E0CCC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64C7A0C0">
            <w:pPr>
              <w:tabs>
                <w:tab w:val="left" w:pos="1418"/>
              </w:tabs>
              <w:snapToGrid w:val="0"/>
              <w:spacing w:before="50" w:after="50"/>
              <w:jc w:val="center"/>
              <w:rPr>
                <w:rFonts w:ascii="Times New Roman" w:hAnsi="Times New Roman" w:eastAsia="宋体" w:cs="Times New Roman"/>
                <w:spacing w:val="20"/>
              </w:rPr>
            </w:pPr>
          </w:p>
        </w:tc>
      </w:tr>
      <w:tr w14:paraId="77414A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214CE83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13</w:t>
            </w:r>
          </w:p>
        </w:tc>
        <w:tc>
          <w:tcPr>
            <w:tcW w:w="2832" w:type="dxa"/>
            <w:tcBorders>
              <w:top w:val="single" w:color="auto" w:sz="4" w:space="0"/>
              <w:left w:val="single" w:color="auto" w:sz="4" w:space="0"/>
              <w:bottom w:val="single" w:color="auto" w:sz="4" w:space="0"/>
              <w:right w:val="single" w:color="auto" w:sz="4" w:space="0"/>
            </w:tcBorders>
            <w:vAlign w:val="center"/>
          </w:tcPr>
          <w:p w14:paraId="178E12A7">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手持式寻源仪</w:t>
            </w:r>
          </w:p>
        </w:tc>
        <w:tc>
          <w:tcPr>
            <w:tcW w:w="889" w:type="dxa"/>
            <w:tcBorders>
              <w:top w:val="single" w:color="auto" w:sz="4" w:space="0"/>
              <w:left w:val="single" w:color="auto" w:sz="4" w:space="0"/>
              <w:bottom w:val="single" w:color="auto" w:sz="4" w:space="0"/>
              <w:right w:val="single" w:color="auto" w:sz="4" w:space="0"/>
            </w:tcBorders>
          </w:tcPr>
          <w:p w14:paraId="2D489453">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6C18249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52678730">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2475829">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272AB79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2</w:t>
            </w:r>
          </w:p>
        </w:tc>
        <w:tc>
          <w:tcPr>
            <w:tcW w:w="1092" w:type="dxa"/>
            <w:tcBorders>
              <w:top w:val="single" w:color="auto" w:sz="4" w:space="0"/>
              <w:left w:val="single" w:color="auto" w:sz="4" w:space="0"/>
              <w:bottom w:val="single" w:color="auto" w:sz="4" w:space="0"/>
              <w:right w:val="single" w:color="auto" w:sz="4" w:space="0"/>
            </w:tcBorders>
          </w:tcPr>
          <w:p w14:paraId="4DFB6971">
            <w:pPr>
              <w:tabs>
                <w:tab w:val="left" w:pos="1418"/>
              </w:tabs>
              <w:snapToGrid w:val="0"/>
              <w:spacing w:before="50" w:after="50"/>
              <w:jc w:val="center"/>
              <w:rPr>
                <w:rFonts w:ascii="Times New Roman" w:hAnsi="Times New Roman" w:eastAsia="宋体" w:cs="Times New Roman"/>
                <w:spacing w:val="20"/>
              </w:rPr>
            </w:pPr>
          </w:p>
        </w:tc>
      </w:tr>
      <w:tr w14:paraId="1CA400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6472265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14</w:t>
            </w:r>
          </w:p>
        </w:tc>
        <w:tc>
          <w:tcPr>
            <w:tcW w:w="2832" w:type="dxa"/>
            <w:tcBorders>
              <w:top w:val="single" w:color="auto" w:sz="4" w:space="0"/>
              <w:left w:val="single" w:color="auto" w:sz="4" w:space="0"/>
              <w:bottom w:val="single" w:color="auto" w:sz="4" w:space="0"/>
              <w:right w:val="single" w:color="auto" w:sz="4" w:space="0"/>
            </w:tcBorders>
            <w:vAlign w:val="center"/>
          </w:tcPr>
          <w:p w14:paraId="77A5BAC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高速冷冻离心机</w:t>
            </w:r>
          </w:p>
        </w:tc>
        <w:tc>
          <w:tcPr>
            <w:tcW w:w="889" w:type="dxa"/>
            <w:tcBorders>
              <w:top w:val="single" w:color="auto" w:sz="4" w:space="0"/>
              <w:left w:val="single" w:color="auto" w:sz="4" w:space="0"/>
              <w:bottom w:val="single" w:color="auto" w:sz="4" w:space="0"/>
              <w:right w:val="single" w:color="auto" w:sz="4" w:space="0"/>
            </w:tcBorders>
          </w:tcPr>
          <w:p w14:paraId="34808853">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5D0BFD49">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3712DF0F">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2BA50E47">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0D1345C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77088743">
            <w:pPr>
              <w:tabs>
                <w:tab w:val="left" w:pos="1418"/>
              </w:tabs>
              <w:snapToGrid w:val="0"/>
              <w:spacing w:before="50" w:after="50"/>
              <w:jc w:val="center"/>
              <w:rPr>
                <w:rFonts w:ascii="Times New Roman" w:hAnsi="Times New Roman" w:eastAsia="宋体" w:cs="Times New Roman"/>
                <w:spacing w:val="20"/>
              </w:rPr>
            </w:pPr>
          </w:p>
        </w:tc>
      </w:tr>
      <w:tr w14:paraId="15B892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6DADD50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15</w:t>
            </w:r>
          </w:p>
        </w:tc>
        <w:tc>
          <w:tcPr>
            <w:tcW w:w="2832" w:type="dxa"/>
            <w:tcBorders>
              <w:top w:val="single" w:color="auto" w:sz="4" w:space="0"/>
              <w:left w:val="single" w:color="auto" w:sz="4" w:space="0"/>
              <w:bottom w:val="single" w:color="auto" w:sz="4" w:space="0"/>
              <w:right w:val="single" w:color="auto" w:sz="4" w:space="0"/>
            </w:tcBorders>
            <w:vAlign w:val="center"/>
          </w:tcPr>
          <w:p w14:paraId="3ACEBE6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氮磷检测器</w:t>
            </w:r>
          </w:p>
        </w:tc>
        <w:tc>
          <w:tcPr>
            <w:tcW w:w="889" w:type="dxa"/>
            <w:tcBorders>
              <w:top w:val="single" w:color="auto" w:sz="4" w:space="0"/>
              <w:left w:val="single" w:color="auto" w:sz="4" w:space="0"/>
              <w:bottom w:val="single" w:color="auto" w:sz="4" w:space="0"/>
              <w:right w:val="single" w:color="auto" w:sz="4" w:space="0"/>
            </w:tcBorders>
          </w:tcPr>
          <w:p w14:paraId="5A17EC78">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0633BBC0">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39998D0">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33A4A9CE">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65755843">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33D9BC8A">
            <w:pPr>
              <w:tabs>
                <w:tab w:val="left" w:pos="1418"/>
              </w:tabs>
              <w:snapToGrid w:val="0"/>
              <w:spacing w:before="50" w:after="50"/>
              <w:jc w:val="center"/>
              <w:rPr>
                <w:rFonts w:ascii="Times New Roman" w:hAnsi="Times New Roman" w:eastAsia="宋体" w:cs="Times New Roman"/>
                <w:spacing w:val="20"/>
              </w:rPr>
            </w:pPr>
          </w:p>
        </w:tc>
      </w:tr>
      <w:tr w14:paraId="05F63A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5FD1662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16</w:t>
            </w:r>
          </w:p>
        </w:tc>
        <w:tc>
          <w:tcPr>
            <w:tcW w:w="2832" w:type="dxa"/>
            <w:tcBorders>
              <w:top w:val="single" w:color="auto" w:sz="4" w:space="0"/>
              <w:left w:val="single" w:color="auto" w:sz="4" w:space="0"/>
              <w:bottom w:val="single" w:color="auto" w:sz="4" w:space="0"/>
              <w:right w:val="single" w:color="auto" w:sz="4" w:space="0"/>
            </w:tcBorders>
            <w:vAlign w:val="center"/>
          </w:tcPr>
          <w:p w14:paraId="18146A8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烷基汞蒸馏仪</w:t>
            </w:r>
          </w:p>
        </w:tc>
        <w:tc>
          <w:tcPr>
            <w:tcW w:w="889" w:type="dxa"/>
            <w:tcBorders>
              <w:top w:val="single" w:color="auto" w:sz="4" w:space="0"/>
              <w:left w:val="single" w:color="auto" w:sz="4" w:space="0"/>
              <w:bottom w:val="single" w:color="auto" w:sz="4" w:space="0"/>
              <w:right w:val="single" w:color="auto" w:sz="4" w:space="0"/>
            </w:tcBorders>
          </w:tcPr>
          <w:p w14:paraId="62DF9B24">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2DDA128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093EA82">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2C3A09A">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03D9317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6DD82CCA">
            <w:pPr>
              <w:tabs>
                <w:tab w:val="left" w:pos="1418"/>
              </w:tabs>
              <w:snapToGrid w:val="0"/>
              <w:spacing w:before="50" w:after="50"/>
              <w:jc w:val="center"/>
              <w:rPr>
                <w:rFonts w:ascii="Times New Roman" w:hAnsi="Times New Roman" w:eastAsia="宋体" w:cs="Times New Roman"/>
                <w:spacing w:val="20"/>
              </w:rPr>
            </w:pPr>
          </w:p>
        </w:tc>
      </w:tr>
      <w:tr w14:paraId="13B9B0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77053F8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FF0000"/>
                <w:spacing w:val="20"/>
              </w:rPr>
            </w:pPr>
            <w:r>
              <w:rPr>
                <w:rFonts w:hint="eastAsia" w:ascii="宋体" w:hAnsi="宋体" w:eastAsia="宋体" w:cs="宋体"/>
                <w:sz w:val="21"/>
                <w:szCs w:val="21"/>
                <w:lang w:val="en-US" w:eastAsia="zh-CN"/>
              </w:rPr>
              <w:t>17</w:t>
            </w:r>
          </w:p>
        </w:tc>
        <w:tc>
          <w:tcPr>
            <w:tcW w:w="2832" w:type="dxa"/>
            <w:tcBorders>
              <w:top w:val="single" w:color="auto" w:sz="4" w:space="0"/>
              <w:left w:val="single" w:color="auto" w:sz="4" w:space="0"/>
              <w:bottom w:val="single" w:color="auto" w:sz="4" w:space="0"/>
              <w:right w:val="single" w:color="auto" w:sz="4" w:space="0"/>
            </w:tcBorders>
            <w:vAlign w:val="center"/>
          </w:tcPr>
          <w:p w14:paraId="6C9C4ED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FF0000"/>
                <w:spacing w:val="20"/>
                <w:sz w:val="21"/>
                <w:szCs w:val="21"/>
              </w:rPr>
            </w:pPr>
            <w:r>
              <w:rPr>
                <w:rFonts w:hint="eastAsia" w:ascii="宋体" w:hAnsi="宋体" w:eastAsia="宋体" w:cs="宋体"/>
                <w:sz w:val="21"/>
                <w:szCs w:val="21"/>
                <w:lang w:val="en-US" w:eastAsia="zh-CN"/>
              </w:rPr>
              <w:t>水质监测采样无人船</w:t>
            </w:r>
          </w:p>
        </w:tc>
        <w:tc>
          <w:tcPr>
            <w:tcW w:w="889" w:type="dxa"/>
            <w:tcBorders>
              <w:top w:val="single" w:color="auto" w:sz="4" w:space="0"/>
              <w:left w:val="single" w:color="auto" w:sz="4" w:space="0"/>
              <w:bottom w:val="single" w:color="auto" w:sz="4" w:space="0"/>
              <w:right w:val="single" w:color="auto" w:sz="4" w:space="0"/>
            </w:tcBorders>
          </w:tcPr>
          <w:p w14:paraId="3A4D3A4F">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311E0EEF">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0E32FB5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64FBED7">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33EB3B5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1E16561D">
            <w:pPr>
              <w:tabs>
                <w:tab w:val="left" w:pos="1418"/>
              </w:tabs>
              <w:snapToGrid w:val="0"/>
              <w:spacing w:before="50" w:after="50"/>
              <w:jc w:val="center"/>
              <w:rPr>
                <w:rFonts w:ascii="Times New Roman" w:hAnsi="Times New Roman" w:eastAsia="宋体" w:cs="Times New Roman"/>
                <w:spacing w:val="20"/>
              </w:rPr>
            </w:pPr>
          </w:p>
        </w:tc>
      </w:tr>
      <w:tr w14:paraId="0F376B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5C266AE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spacing w:val="20"/>
              </w:rPr>
            </w:pPr>
            <w:r>
              <w:rPr>
                <w:rFonts w:hint="eastAsia" w:ascii="宋体" w:hAnsi="宋体" w:eastAsia="宋体" w:cs="宋体"/>
                <w:sz w:val="21"/>
                <w:szCs w:val="21"/>
                <w:lang w:val="en-US" w:eastAsia="zh-CN"/>
              </w:rPr>
              <w:t>18</w:t>
            </w:r>
          </w:p>
        </w:tc>
        <w:tc>
          <w:tcPr>
            <w:tcW w:w="2832" w:type="dxa"/>
            <w:tcBorders>
              <w:top w:val="single" w:color="auto" w:sz="4" w:space="0"/>
              <w:left w:val="single" w:color="auto" w:sz="4" w:space="0"/>
              <w:bottom w:val="single" w:color="auto" w:sz="4" w:space="0"/>
              <w:right w:val="single" w:color="auto" w:sz="4" w:space="0"/>
            </w:tcBorders>
            <w:vAlign w:val="center"/>
          </w:tcPr>
          <w:p w14:paraId="25A3340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pacing w:val="20"/>
                <w:sz w:val="21"/>
                <w:szCs w:val="21"/>
              </w:rPr>
            </w:pPr>
            <w:r>
              <w:rPr>
                <w:rFonts w:hint="eastAsia" w:ascii="宋体" w:hAnsi="宋体" w:eastAsia="宋体" w:cs="宋体"/>
                <w:sz w:val="21"/>
                <w:szCs w:val="21"/>
                <w:lang w:val="en-US" w:eastAsia="zh-CN"/>
              </w:rPr>
              <w:t>气体流量校准器</w:t>
            </w:r>
          </w:p>
        </w:tc>
        <w:tc>
          <w:tcPr>
            <w:tcW w:w="889" w:type="dxa"/>
            <w:tcBorders>
              <w:top w:val="single" w:color="auto" w:sz="4" w:space="0"/>
              <w:left w:val="single" w:color="auto" w:sz="4" w:space="0"/>
              <w:bottom w:val="single" w:color="auto" w:sz="4" w:space="0"/>
              <w:right w:val="single" w:color="auto" w:sz="4" w:space="0"/>
            </w:tcBorders>
          </w:tcPr>
          <w:p w14:paraId="788F049F">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44125470">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3B4C0510">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A32C179">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5F1DFF0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2</w:t>
            </w:r>
          </w:p>
        </w:tc>
        <w:tc>
          <w:tcPr>
            <w:tcW w:w="1092" w:type="dxa"/>
            <w:tcBorders>
              <w:top w:val="single" w:color="auto" w:sz="4" w:space="0"/>
              <w:left w:val="single" w:color="auto" w:sz="4" w:space="0"/>
              <w:bottom w:val="single" w:color="auto" w:sz="4" w:space="0"/>
              <w:right w:val="single" w:color="auto" w:sz="4" w:space="0"/>
            </w:tcBorders>
          </w:tcPr>
          <w:p w14:paraId="636FB24F">
            <w:pPr>
              <w:tabs>
                <w:tab w:val="left" w:pos="1418"/>
              </w:tabs>
              <w:snapToGrid w:val="0"/>
              <w:spacing w:before="50" w:after="50"/>
              <w:jc w:val="center"/>
              <w:rPr>
                <w:rFonts w:ascii="Times New Roman" w:hAnsi="Times New Roman" w:eastAsia="宋体" w:cs="Times New Roman"/>
                <w:spacing w:val="20"/>
              </w:rPr>
            </w:pPr>
          </w:p>
        </w:tc>
      </w:tr>
      <w:tr w14:paraId="73CE27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10DB605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spacing w:val="20"/>
              </w:rPr>
            </w:pPr>
            <w:r>
              <w:rPr>
                <w:rFonts w:hint="eastAsia" w:ascii="宋体" w:hAnsi="宋体" w:eastAsia="宋体" w:cs="宋体"/>
                <w:sz w:val="21"/>
                <w:szCs w:val="21"/>
                <w:lang w:val="en-US" w:eastAsia="zh-CN"/>
              </w:rPr>
              <w:t>19</w:t>
            </w:r>
          </w:p>
        </w:tc>
        <w:tc>
          <w:tcPr>
            <w:tcW w:w="2832" w:type="dxa"/>
            <w:tcBorders>
              <w:top w:val="single" w:color="auto" w:sz="4" w:space="0"/>
              <w:left w:val="single" w:color="auto" w:sz="4" w:space="0"/>
              <w:bottom w:val="single" w:color="auto" w:sz="4" w:space="0"/>
              <w:right w:val="single" w:color="auto" w:sz="4" w:space="0"/>
            </w:tcBorders>
            <w:vAlign w:val="center"/>
          </w:tcPr>
          <w:p w14:paraId="4344D14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pacing w:val="20"/>
                <w:sz w:val="21"/>
                <w:szCs w:val="21"/>
              </w:rPr>
            </w:pPr>
            <w:r>
              <w:rPr>
                <w:rFonts w:hint="eastAsia" w:ascii="宋体" w:hAnsi="宋体" w:eastAsia="宋体" w:cs="宋体"/>
                <w:sz w:val="21"/>
                <w:szCs w:val="21"/>
                <w:lang w:val="en-US" w:eastAsia="zh-CN"/>
              </w:rPr>
              <w:t>荧光分光光度计</w:t>
            </w:r>
          </w:p>
        </w:tc>
        <w:tc>
          <w:tcPr>
            <w:tcW w:w="889" w:type="dxa"/>
            <w:tcBorders>
              <w:top w:val="single" w:color="auto" w:sz="4" w:space="0"/>
              <w:left w:val="single" w:color="auto" w:sz="4" w:space="0"/>
              <w:bottom w:val="single" w:color="auto" w:sz="4" w:space="0"/>
              <w:right w:val="single" w:color="auto" w:sz="4" w:space="0"/>
            </w:tcBorders>
          </w:tcPr>
          <w:p w14:paraId="18A1872D">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683A5C63">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C4CAF4F">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59B32C7A">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0BA7257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4CB6F15E">
            <w:pPr>
              <w:tabs>
                <w:tab w:val="left" w:pos="1418"/>
              </w:tabs>
              <w:snapToGrid w:val="0"/>
              <w:spacing w:before="50" w:after="50"/>
              <w:jc w:val="center"/>
              <w:rPr>
                <w:rFonts w:ascii="Times New Roman" w:hAnsi="Times New Roman" w:eastAsia="宋体" w:cs="Times New Roman"/>
                <w:spacing w:val="20"/>
              </w:rPr>
            </w:pPr>
          </w:p>
        </w:tc>
      </w:tr>
      <w:tr w14:paraId="69107E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72" w:type="dxa"/>
            <w:tcBorders>
              <w:top w:val="single" w:color="auto" w:sz="4" w:space="0"/>
              <w:left w:val="single" w:color="auto" w:sz="4" w:space="0"/>
              <w:bottom w:val="single" w:color="auto" w:sz="4" w:space="0"/>
              <w:right w:val="single" w:color="auto" w:sz="4" w:space="0"/>
            </w:tcBorders>
            <w:vAlign w:val="center"/>
          </w:tcPr>
          <w:p w14:paraId="36F6D8F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spacing w:val="20"/>
              </w:rPr>
            </w:pPr>
            <w:r>
              <w:rPr>
                <w:rFonts w:hint="eastAsia" w:ascii="宋体" w:hAnsi="宋体" w:eastAsia="宋体" w:cs="宋体"/>
                <w:sz w:val="21"/>
                <w:szCs w:val="21"/>
                <w:lang w:val="en-US" w:eastAsia="zh-CN"/>
              </w:rPr>
              <w:t>20</w:t>
            </w:r>
          </w:p>
        </w:tc>
        <w:tc>
          <w:tcPr>
            <w:tcW w:w="2832" w:type="dxa"/>
            <w:tcBorders>
              <w:top w:val="single" w:color="auto" w:sz="4" w:space="0"/>
              <w:left w:val="single" w:color="auto" w:sz="4" w:space="0"/>
              <w:bottom w:val="single" w:color="auto" w:sz="4" w:space="0"/>
              <w:right w:val="single" w:color="auto" w:sz="4" w:space="0"/>
            </w:tcBorders>
            <w:vAlign w:val="center"/>
          </w:tcPr>
          <w:p w14:paraId="659BE2C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pacing w:val="20"/>
                <w:sz w:val="21"/>
                <w:szCs w:val="21"/>
              </w:rPr>
            </w:pPr>
            <w:r>
              <w:rPr>
                <w:rFonts w:hint="eastAsia" w:ascii="宋体" w:hAnsi="宋体" w:eastAsia="宋体" w:cs="宋体"/>
                <w:sz w:val="21"/>
                <w:szCs w:val="21"/>
                <w:lang w:val="en-US" w:eastAsia="zh-CN"/>
              </w:rPr>
              <w:t>多光谱小型无人机</w:t>
            </w:r>
          </w:p>
        </w:tc>
        <w:tc>
          <w:tcPr>
            <w:tcW w:w="889" w:type="dxa"/>
            <w:tcBorders>
              <w:top w:val="single" w:color="auto" w:sz="4" w:space="0"/>
              <w:left w:val="single" w:color="auto" w:sz="4" w:space="0"/>
              <w:bottom w:val="single" w:color="auto" w:sz="4" w:space="0"/>
              <w:right w:val="single" w:color="auto" w:sz="4" w:space="0"/>
            </w:tcBorders>
          </w:tcPr>
          <w:p w14:paraId="3FF05F9F">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3E24F006">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683BEA9A">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5179D9A0">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1FAD63CB">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11517AAD">
            <w:pPr>
              <w:tabs>
                <w:tab w:val="left" w:pos="1418"/>
              </w:tabs>
              <w:snapToGrid w:val="0"/>
              <w:spacing w:before="50" w:after="50"/>
              <w:jc w:val="center"/>
              <w:rPr>
                <w:rFonts w:ascii="Times New Roman" w:hAnsi="Times New Roman" w:eastAsia="宋体" w:cs="Times New Roman"/>
                <w:spacing w:val="20"/>
              </w:rPr>
            </w:pPr>
          </w:p>
        </w:tc>
      </w:tr>
      <w:tr w14:paraId="74F859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672" w:type="dxa"/>
            <w:tcBorders>
              <w:top w:val="single" w:color="auto" w:sz="4" w:space="0"/>
              <w:left w:val="single" w:color="auto" w:sz="4" w:space="0"/>
              <w:bottom w:val="single" w:color="auto" w:sz="4" w:space="0"/>
              <w:right w:val="single" w:color="auto" w:sz="4" w:space="0"/>
            </w:tcBorders>
            <w:vAlign w:val="center"/>
          </w:tcPr>
          <w:p w14:paraId="1166BF3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pacing w:val="20"/>
                <w:lang w:eastAsia="zh-CN"/>
              </w:rPr>
            </w:pPr>
            <w:r>
              <w:rPr>
                <w:rFonts w:hint="eastAsia" w:ascii="宋体" w:hAnsi="宋体" w:eastAsia="宋体" w:cs="宋体"/>
                <w:sz w:val="21"/>
                <w:szCs w:val="21"/>
                <w:lang w:val="en-US" w:eastAsia="zh-CN"/>
              </w:rPr>
              <w:t>21</w:t>
            </w:r>
          </w:p>
        </w:tc>
        <w:tc>
          <w:tcPr>
            <w:tcW w:w="2832" w:type="dxa"/>
            <w:tcBorders>
              <w:top w:val="single" w:color="auto" w:sz="4" w:space="0"/>
              <w:left w:val="single" w:color="auto" w:sz="4" w:space="0"/>
              <w:bottom w:val="single" w:color="auto" w:sz="4" w:space="0"/>
              <w:right w:val="single" w:color="auto" w:sz="4" w:space="0"/>
            </w:tcBorders>
            <w:vAlign w:val="center"/>
          </w:tcPr>
          <w:p w14:paraId="4C3A4FC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pacing w:val="20"/>
                <w:sz w:val="21"/>
                <w:szCs w:val="21"/>
              </w:rPr>
            </w:pPr>
            <w:r>
              <w:rPr>
                <w:rFonts w:hint="eastAsia" w:ascii="宋体" w:hAnsi="宋体" w:eastAsia="宋体" w:cs="宋体"/>
                <w:sz w:val="21"/>
                <w:szCs w:val="21"/>
                <w:lang w:val="en-US" w:eastAsia="zh-CN"/>
              </w:rPr>
              <w:t>台式恒温振荡器</w:t>
            </w:r>
          </w:p>
        </w:tc>
        <w:tc>
          <w:tcPr>
            <w:tcW w:w="889" w:type="dxa"/>
            <w:tcBorders>
              <w:top w:val="single" w:color="auto" w:sz="4" w:space="0"/>
              <w:left w:val="single" w:color="auto" w:sz="4" w:space="0"/>
              <w:bottom w:val="single" w:color="auto" w:sz="4" w:space="0"/>
              <w:right w:val="single" w:color="auto" w:sz="4" w:space="0"/>
            </w:tcBorders>
          </w:tcPr>
          <w:p w14:paraId="2A62AFDD">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6E17AA18">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4196DEB7">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52A5A010">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35246FA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74FE47E4">
            <w:pPr>
              <w:tabs>
                <w:tab w:val="left" w:pos="1418"/>
              </w:tabs>
              <w:snapToGrid w:val="0"/>
              <w:spacing w:before="50" w:after="50"/>
              <w:jc w:val="center"/>
              <w:rPr>
                <w:rFonts w:ascii="Times New Roman" w:hAnsi="Times New Roman" w:eastAsia="宋体" w:cs="Times New Roman"/>
                <w:spacing w:val="20"/>
              </w:rPr>
            </w:pPr>
          </w:p>
        </w:tc>
      </w:tr>
      <w:tr w14:paraId="632BFA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672" w:type="dxa"/>
            <w:tcBorders>
              <w:top w:val="single" w:color="auto" w:sz="4" w:space="0"/>
              <w:left w:val="single" w:color="auto" w:sz="4" w:space="0"/>
              <w:bottom w:val="single" w:color="auto" w:sz="4" w:space="0"/>
              <w:right w:val="single" w:color="auto" w:sz="4" w:space="0"/>
            </w:tcBorders>
            <w:vAlign w:val="center"/>
          </w:tcPr>
          <w:p w14:paraId="538DF14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pacing w:val="20"/>
                <w:lang w:eastAsia="zh-CN"/>
              </w:rPr>
            </w:pPr>
            <w:r>
              <w:rPr>
                <w:rFonts w:hint="eastAsia" w:ascii="宋体" w:hAnsi="宋体" w:eastAsia="宋体" w:cs="宋体"/>
                <w:sz w:val="21"/>
                <w:szCs w:val="21"/>
                <w:lang w:val="en-US" w:eastAsia="zh-CN"/>
              </w:rPr>
              <w:t>22</w:t>
            </w:r>
          </w:p>
        </w:tc>
        <w:tc>
          <w:tcPr>
            <w:tcW w:w="2832" w:type="dxa"/>
            <w:tcBorders>
              <w:top w:val="single" w:color="auto" w:sz="4" w:space="0"/>
              <w:left w:val="single" w:color="auto" w:sz="4" w:space="0"/>
              <w:bottom w:val="single" w:color="auto" w:sz="4" w:space="0"/>
              <w:right w:val="single" w:color="auto" w:sz="4" w:space="0"/>
            </w:tcBorders>
            <w:vAlign w:val="center"/>
          </w:tcPr>
          <w:p w14:paraId="4111B5A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pacing w:val="20"/>
                <w:sz w:val="21"/>
                <w:szCs w:val="21"/>
              </w:rPr>
            </w:pPr>
            <w:r>
              <w:rPr>
                <w:rFonts w:hint="eastAsia" w:ascii="宋体" w:hAnsi="宋体" w:eastAsia="宋体" w:cs="宋体"/>
                <w:sz w:val="21"/>
                <w:szCs w:val="21"/>
                <w:lang w:val="en-US" w:eastAsia="zh-CN"/>
              </w:rPr>
              <w:t>危化品安全管理智能设备及系统</w:t>
            </w:r>
          </w:p>
        </w:tc>
        <w:tc>
          <w:tcPr>
            <w:tcW w:w="889" w:type="dxa"/>
            <w:tcBorders>
              <w:top w:val="single" w:color="auto" w:sz="4" w:space="0"/>
              <w:left w:val="single" w:color="auto" w:sz="4" w:space="0"/>
              <w:bottom w:val="single" w:color="auto" w:sz="4" w:space="0"/>
              <w:right w:val="single" w:color="auto" w:sz="4" w:space="0"/>
            </w:tcBorders>
          </w:tcPr>
          <w:p w14:paraId="754A4F00">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06118580">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61326AF0">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52ED1EAE">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74FCAE1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4492F59E">
            <w:pPr>
              <w:tabs>
                <w:tab w:val="left" w:pos="1418"/>
              </w:tabs>
              <w:snapToGrid w:val="0"/>
              <w:spacing w:before="50" w:after="50"/>
              <w:jc w:val="center"/>
              <w:rPr>
                <w:rFonts w:ascii="Times New Roman" w:hAnsi="Times New Roman" w:eastAsia="宋体" w:cs="Times New Roman"/>
                <w:spacing w:val="20"/>
              </w:rPr>
            </w:pPr>
          </w:p>
        </w:tc>
      </w:tr>
      <w:tr w14:paraId="5CD15E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672" w:type="dxa"/>
            <w:tcBorders>
              <w:top w:val="single" w:color="auto" w:sz="4" w:space="0"/>
              <w:left w:val="single" w:color="auto" w:sz="4" w:space="0"/>
              <w:bottom w:val="single" w:color="auto" w:sz="4" w:space="0"/>
              <w:right w:val="single" w:color="auto" w:sz="4" w:space="0"/>
            </w:tcBorders>
            <w:vAlign w:val="center"/>
          </w:tcPr>
          <w:p w14:paraId="70F101C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pacing w:val="20"/>
                <w:lang w:eastAsia="zh-CN"/>
              </w:rPr>
            </w:pPr>
            <w:r>
              <w:rPr>
                <w:rFonts w:hint="eastAsia" w:ascii="宋体" w:hAnsi="宋体" w:eastAsia="宋体" w:cs="宋体"/>
                <w:sz w:val="21"/>
                <w:szCs w:val="21"/>
                <w:lang w:val="en-US" w:eastAsia="zh-CN"/>
              </w:rPr>
              <w:t>23</w:t>
            </w:r>
          </w:p>
        </w:tc>
        <w:tc>
          <w:tcPr>
            <w:tcW w:w="2832" w:type="dxa"/>
            <w:tcBorders>
              <w:top w:val="single" w:color="auto" w:sz="4" w:space="0"/>
              <w:left w:val="single" w:color="auto" w:sz="4" w:space="0"/>
              <w:bottom w:val="single" w:color="auto" w:sz="4" w:space="0"/>
              <w:right w:val="single" w:color="auto" w:sz="4" w:space="0"/>
            </w:tcBorders>
            <w:vAlign w:val="center"/>
          </w:tcPr>
          <w:p w14:paraId="4C18A69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pacing w:val="20"/>
                <w:sz w:val="21"/>
                <w:szCs w:val="21"/>
              </w:rPr>
            </w:pPr>
            <w:r>
              <w:rPr>
                <w:rFonts w:hint="eastAsia" w:ascii="宋体" w:hAnsi="宋体" w:eastAsia="宋体" w:cs="宋体"/>
                <w:sz w:val="21"/>
                <w:szCs w:val="21"/>
                <w:lang w:val="en-US" w:eastAsia="zh-CN"/>
              </w:rPr>
              <w:t>标准品信息化储存管理系统</w:t>
            </w:r>
          </w:p>
        </w:tc>
        <w:tc>
          <w:tcPr>
            <w:tcW w:w="889" w:type="dxa"/>
            <w:tcBorders>
              <w:top w:val="single" w:color="auto" w:sz="4" w:space="0"/>
              <w:left w:val="single" w:color="auto" w:sz="4" w:space="0"/>
              <w:bottom w:val="single" w:color="auto" w:sz="4" w:space="0"/>
              <w:right w:val="single" w:color="auto" w:sz="4" w:space="0"/>
            </w:tcBorders>
          </w:tcPr>
          <w:p w14:paraId="2F7EC6B2">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0CA3AC1F">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1EE69221">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2927A525">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vAlign w:val="center"/>
          </w:tcPr>
          <w:p w14:paraId="2CAC360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pacing w:val="20"/>
                <w:sz w:val="21"/>
                <w:szCs w:val="21"/>
              </w:rPr>
            </w:pPr>
            <w:r>
              <w:rPr>
                <w:rFonts w:hint="eastAsia" w:ascii="宋体" w:hAnsi="宋体" w:cs="宋体"/>
                <w:sz w:val="21"/>
                <w:szCs w:val="21"/>
                <w:lang w:val="en-US" w:eastAsia="zh-CN"/>
              </w:rPr>
              <w:t>1</w:t>
            </w:r>
          </w:p>
        </w:tc>
        <w:tc>
          <w:tcPr>
            <w:tcW w:w="1092" w:type="dxa"/>
            <w:tcBorders>
              <w:top w:val="single" w:color="auto" w:sz="4" w:space="0"/>
              <w:left w:val="single" w:color="auto" w:sz="4" w:space="0"/>
              <w:bottom w:val="single" w:color="auto" w:sz="4" w:space="0"/>
              <w:right w:val="single" w:color="auto" w:sz="4" w:space="0"/>
            </w:tcBorders>
          </w:tcPr>
          <w:p w14:paraId="0CD082C9">
            <w:pPr>
              <w:tabs>
                <w:tab w:val="left" w:pos="1418"/>
              </w:tabs>
              <w:snapToGrid w:val="0"/>
              <w:spacing w:before="50" w:after="50"/>
              <w:jc w:val="center"/>
              <w:rPr>
                <w:rFonts w:ascii="Times New Roman" w:hAnsi="Times New Roman" w:eastAsia="宋体" w:cs="Times New Roman"/>
                <w:spacing w:val="20"/>
              </w:rPr>
            </w:pPr>
          </w:p>
        </w:tc>
      </w:tr>
      <w:tr w14:paraId="2218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672" w:type="dxa"/>
            <w:tcBorders>
              <w:top w:val="single" w:color="auto" w:sz="4" w:space="0"/>
              <w:left w:val="single" w:color="auto" w:sz="4" w:space="0"/>
              <w:bottom w:val="single" w:color="auto" w:sz="4" w:space="0"/>
              <w:right w:val="single" w:color="auto" w:sz="4" w:space="0"/>
            </w:tcBorders>
          </w:tcPr>
          <w:p w14:paraId="0B382FDC">
            <w:pPr>
              <w:tabs>
                <w:tab w:val="left" w:pos="1418"/>
              </w:tabs>
              <w:snapToGrid w:val="0"/>
              <w:spacing w:before="50" w:after="50"/>
              <w:jc w:val="center"/>
              <w:rPr>
                <w:rFonts w:ascii="Times New Roman" w:hAnsi="Times New Roman" w:eastAsia="宋体" w:cs="Times New Roman"/>
                <w:spacing w:val="20"/>
              </w:rPr>
            </w:pPr>
          </w:p>
        </w:tc>
        <w:tc>
          <w:tcPr>
            <w:tcW w:w="2832" w:type="dxa"/>
            <w:tcBorders>
              <w:top w:val="single" w:color="auto" w:sz="4" w:space="0"/>
              <w:left w:val="single" w:color="auto" w:sz="4" w:space="0"/>
              <w:bottom w:val="single" w:color="auto" w:sz="4" w:space="0"/>
              <w:right w:val="single" w:color="auto" w:sz="4" w:space="0"/>
            </w:tcBorders>
          </w:tcPr>
          <w:p w14:paraId="7E815DA4">
            <w:pPr>
              <w:tabs>
                <w:tab w:val="left" w:pos="1418"/>
              </w:tabs>
              <w:snapToGrid w:val="0"/>
              <w:spacing w:before="50" w:after="50"/>
              <w:jc w:val="center"/>
              <w:rPr>
                <w:rFonts w:ascii="Times New Roman" w:hAnsi="Times New Roman" w:eastAsia="宋体" w:cs="Times New Roman"/>
                <w:spacing w:val="20"/>
              </w:rPr>
            </w:pPr>
            <w:r>
              <w:rPr>
                <w:rFonts w:ascii="Times New Roman" w:hAnsi="Times New Roman" w:eastAsia="宋体" w:cs="Times New Roman"/>
                <w:spacing w:val="20"/>
              </w:rPr>
              <w:t>……</w:t>
            </w:r>
          </w:p>
        </w:tc>
        <w:tc>
          <w:tcPr>
            <w:tcW w:w="889" w:type="dxa"/>
            <w:tcBorders>
              <w:top w:val="single" w:color="auto" w:sz="4" w:space="0"/>
              <w:left w:val="single" w:color="auto" w:sz="4" w:space="0"/>
              <w:bottom w:val="single" w:color="auto" w:sz="4" w:space="0"/>
              <w:right w:val="single" w:color="auto" w:sz="4" w:space="0"/>
            </w:tcBorders>
          </w:tcPr>
          <w:p w14:paraId="700B0466">
            <w:pPr>
              <w:tabs>
                <w:tab w:val="left" w:pos="1418"/>
              </w:tabs>
              <w:snapToGrid w:val="0"/>
              <w:spacing w:before="50" w:after="50"/>
              <w:jc w:val="center"/>
              <w:rPr>
                <w:rFonts w:ascii="Times New Roman" w:hAnsi="Times New Roman" w:eastAsia="宋体" w:cs="Times New Roman"/>
                <w:spacing w:val="20"/>
              </w:rPr>
            </w:pPr>
          </w:p>
        </w:tc>
        <w:tc>
          <w:tcPr>
            <w:tcW w:w="1290" w:type="dxa"/>
            <w:tcBorders>
              <w:top w:val="single" w:color="auto" w:sz="4" w:space="0"/>
              <w:left w:val="single" w:color="auto" w:sz="4" w:space="0"/>
              <w:bottom w:val="single" w:color="auto" w:sz="4" w:space="0"/>
              <w:right w:val="single" w:color="auto" w:sz="4" w:space="0"/>
            </w:tcBorders>
          </w:tcPr>
          <w:p w14:paraId="50D78D9B">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48215195">
            <w:pPr>
              <w:tabs>
                <w:tab w:val="left" w:pos="1418"/>
              </w:tabs>
              <w:snapToGrid w:val="0"/>
              <w:spacing w:before="50" w:after="50"/>
              <w:jc w:val="center"/>
              <w:rPr>
                <w:rFonts w:ascii="Times New Roman" w:hAnsi="Times New Roman" w:eastAsia="宋体" w:cs="Times New Roman"/>
                <w:spacing w:val="20"/>
              </w:rPr>
            </w:pPr>
          </w:p>
        </w:tc>
        <w:tc>
          <w:tcPr>
            <w:tcW w:w="920" w:type="dxa"/>
            <w:tcBorders>
              <w:top w:val="single" w:color="auto" w:sz="4" w:space="0"/>
              <w:left w:val="single" w:color="auto" w:sz="4" w:space="0"/>
              <w:bottom w:val="single" w:color="auto" w:sz="4" w:space="0"/>
              <w:right w:val="single" w:color="auto" w:sz="4" w:space="0"/>
            </w:tcBorders>
          </w:tcPr>
          <w:p w14:paraId="7332E651">
            <w:pPr>
              <w:tabs>
                <w:tab w:val="left" w:pos="1418"/>
              </w:tabs>
              <w:snapToGrid w:val="0"/>
              <w:spacing w:before="50" w:after="50"/>
              <w:jc w:val="center"/>
              <w:rPr>
                <w:rFonts w:ascii="Times New Roman" w:hAnsi="Times New Roman" w:eastAsia="宋体" w:cs="Times New Roman"/>
                <w:spacing w:val="20"/>
              </w:rPr>
            </w:pPr>
          </w:p>
        </w:tc>
        <w:tc>
          <w:tcPr>
            <w:tcW w:w="925" w:type="dxa"/>
            <w:tcBorders>
              <w:top w:val="single" w:color="auto" w:sz="4" w:space="0"/>
              <w:left w:val="single" w:color="auto" w:sz="4" w:space="0"/>
              <w:bottom w:val="single" w:color="auto" w:sz="4" w:space="0"/>
              <w:right w:val="single" w:color="auto" w:sz="4" w:space="0"/>
            </w:tcBorders>
          </w:tcPr>
          <w:p w14:paraId="7D3FAA19">
            <w:pPr>
              <w:tabs>
                <w:tab w:val="left" w:pos="1418"/>
              </w:tabs>
              <w:snapToGrid w:val="0"/>
              <w:spacing w:before="50" w:after="50"/>
              <w:jc w:val="center"/>
              <w:rPr>
                <w:rFonts w:ascii="Times New Roman" w:hAnsi="Times New Roman" w:eastAsia="宋体" w:cs="Times New Roman"/>
                <w:spacing w:val="20"/>
              </w:rPr>
            </w:pPr>
          </w:p>
        </w:tc>
        <w:tc>
          <w:tcPr>
            <w:tcW w:w="1092" w:type="dxa"/>
            <w:tcBorders>
              <w:top w:val="single" w:color="auto" w:sz="4" w:space="0"/>
              <w:left w:val="single" w:color="auto" w:sz="4" w:space="0"/>
              <w:bottom w:val="single" w:color="auto" w:sz="4" w:space="0"/>
              <w:right w:val="single" w:color="auto" w:sz="4" w:space="0"/>
            </w:tcBorders>
          </w:tcPr>
          <w:p w14:paraId="56833604">
            <w:pPr>
              <w:tabs>
                <w:tab w:val="left" w:pos="1418"/>
              </w:tabs>
              <w:snapToGrid w:val="0"/>
              <w:spacing w:before="50" w:after="50"/>
              <w:jc w:val="center"/>
              <w:rPr>
                <w:rFonts w:ascii="Times New Roman" w:hAnsi="Times New Roman" w:eastAsia="宋体" w:cs="Times New Roman"/>
                <w:spacing w:val="20"/>
              </w:rPr>
            </w:pPr>
          </w:p>
        </w:tc>
      </w:tr>
      <w:tr w14:paraId="58EF1B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9540" w:type="dxa"/>
            <w:gridSpan w:val="8"/>
            <w:tcBorders>
              <w:top w:val="single" w:color="auto" w:sz="4" w:space="0"/>
              <w:left w:val="single" w:color="auto" w:sz="4" w:space="0"/>
              <w:bottom w:val="single" w:color="auto" w:sz="4" w:space="0"/>
              <w:right w:val="single" w:color="auto" w:sz="4" w:space="0"/>
            </w:tcBorders>
          </w:tcPr>
          <w:p w14:paraId="1ED1FC4F">
            <w:pPr>
              <w:tabs>
                <w:tab w:val="left" w:pos="1418"/>
              </w:tabs>
              <w:snapToGrid w:val="0"/>
              <w:spacing w:before="50" w:after="50"/>
              <w:jc w:val="both"/>
              <w:rPr>
                <w:rFonts w:ascii="Times New Roman" w:hAnsi="Times New Roman" w:eastAsia="宋体" w:cs="Times New Roman"/>
                <w:spacing w:val="20"/>
              </w:rPr>
            </w:pPr>
            <w:r>
              <w:rPr>
                <w:rFonts w:hint="eastAsia" w:ascii="Times New Roman" w:hAnsi="Times New Roman" w:eastAsia="宋体" w:cs="Times New Roman"/>
                <w:spacing w:val="20"/>
                <w:lang w:val="en-US" w:eastAsia="zh-CN"/>
              </w:rPr>
              <w:t>合计</w:t>
            </w:r>
          </w:p>
        </w:tc>
      </w:tr>
      <w:tr w14:paraId="1EB10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540" w:type="dxa"/>
            <w:gridSpan w:val="8"/>
            <w:tcBorders>
              <w:top w:val="single" w:color="auto" w:sz="4" w:space="0"/>
              <w:left w:val="single" w:color="auto" w:sz="4" w:space="0"/>
              <w:bottom w:val="single" w:color="auto" w:sz="4" w:space="0"/>
              <w:right w:val="single" w:color="auto" w:sz="4" w:space="0"/>
            </w:tcBorders>
          </w:tcPr>
          <w:p w14:paraId="58612D35">
            <w:pPr>
              <w:tabs>
                <w:tab w:val="left" w:pos="1418"/>
              </w:tabs>
              <w:snapToGrid w:val="0"/>
              <w:spacing w:before="50" w:after="50"/>
              <w:rPr>
                <w:rFonts w:ascii="Times New Roman" w:hAnsi="Times New Roman" w:eastAsia="宋体" w:cs="Times New Roman"/>
                <w:spacing w:val="20"/>
              </w:rPr>
            </w:pPr>
            <w:r>
              <w:rPr>
                <w:rFonts w:hint="eastAsia" w:ascii="Times New Roman" w:hAnsi="Times New Roman" w:eastAsia="宋体" w:cs="Times New Roman"/>
                <w:spacing w:val="20"/>
              </w:rPr>
              <w:t>合计（大写）</w:t>
            </w:r>
          </w:p>
        </w:tc>
      </w:tr>
    </w:tbl>
    <w:p w14:paraId="6F7F0168">
      <w:pPr>
        <w:snapToGrid w:val="0"/>
        <w:rPr>
          <w:rFonts w:ascii="Times New Roman" w:hAnsi="Times New Roman" w:eastAsia="宋体" w:cs="Times New Roman"/>
        </w:rPr>
      </w:pPr>
    </w:p>
    <w:p w14:paraId="57BA99F0">
      <w:pPr>
        <w:snapToGrid w:val="0"/>
        <w:spacing w:before="50" w:after="50"/>
        <w:rPr>
          <w:rFonts w:hint="eastAsia" w:ascii="Times New Roman" w:hAnsi="Times New Roman" w:eastAsia="宋体" w:cs="Times New Roman"/>
          <w:lang w:val="en-US" w:eastAsia="zh-CN"/>
        </w:rPr>
      </w:pPr>
      <w:r>
        <w:rPr>
          <w:rFonts w:hint="eastAsia" w:ascii="Times New Roman" w:hAnsi="Times New Roman" w:eastAsia="宋体" w:cs="Times New Roman"/>
        </w:rPr>
        <w:t>注：</w:t>
      </w:r>
      <w:r>
        <w:rPr>
          <w:rFonts w:hint="eastAsia" w:ascii="Times New Roman" w:hAnsi="Times New Roman" w:eastAsia="宋体" w:cs="Times New Roman"/>
          <w:lang w:val="en-US" w:eastAsia="zh-CN"/>
        </w:rPr>
        <w:t>按采购清单报价</w:t>
      </w:r>
    </w:p>
    <w:p w14:paraId="62A145FC">
      <w:pPr>
        <w:snapToGrid w:val="0"/>
        <w:spacing w:before="50" w:after="50"/>
        <w:rPr>
          <w:rFonts w:ascii="Times New Roman" w:hAnsi="Times New Roman" w:eastAsia="宋体" w:cs="Times New Roman"/>
        </w:rPr>
      </w:pPr>
      <w:r>
        <w:rPr>
          <w:rFonts w:hint="eastAsia" w:ascii="Times New Roman" w:hAnsi="Times New Roman" w:eastAsia="宋体" w:cs="Times New Roman"/>
        </w:rPr>
        <w:t>费用包括项目实施所需的一切费用。</w:t>
      </w:r>
    </w:p>
    <w:p w14:paraId="280DA382">
      <w:pPr>
        <w:snapToGrid w:val="0"/>
        <w:spacing w:before="50" w:after="50"/>
        <w:rPr>
          <w:rFonts w:ascii="Times New Roman" w:hAnsi="Times New Roman" w:eastAsia="宋体" w:cs="Times New Roman"/>
        </w:rPr>
      </w:pPr>
    </w:p>
    <w:p w14:paraId="2159F3C5">
      <w:pPr>
        <w:snapToGrid w:val="0"/>
        <w:spacing w:before="50" w:after="50"/>
        <w:rPr>
          <w:rFonts w:ascii="Times New Roman" w:hAnsi="Times New Roman" w:eastAsia="宋体" w:cs="Times New Roman"/>
        </w:rPr>
      </w:pPr>
      <w:r>
        <w:rPr>
          <w:rFonts w:hint="eastAsia" w:ascii="Times New Roman" w:hAnsi="Times New Roman" w:eastAsia="宋体" w:cs="Times New Roman"/>
        </w:rPr>
        <w:t>投标人名称（盖章）：</w:t>
      </w:r>
    </w:p>
    <w:p w14:paraId="3C5CCE85">
      <w:pPr>
        <w:snapToGrid w:val="0"/>
        <w:spacing w:before="50" w:after="50"/>
        <w:ind w:firstLine="5000" w:firstLineChars="2000"/>
        <w:rPr>
          <w:rFonts w:ascii="Times New Roman" w:hAnsi="Times New Roman" w:eastAsia="宋体" w:cs="Times New Roman"/>
          <w:b/>
          <w:sz w:val="32"/>
        </w:rPr>
      </w:pPr>
      <w:r>
        <w:rPr>
          <w:rFonts w:hint="eastAsia" w:ascii="Times New Roman" w:hAnsi="Times New Roman" w:eastAsia="宋体" w:cs="Times New Roman"/>
          <w:spacing w:val="20"/>
        </w:rPr>
        <w:t>日期：</w:t>
      </w:r>
    </w:p>
    <w:p w14:paraId="42B8BE78">
      <w:pPr>
        <w:snapToGrid w:val="0"/>
        <w:spacing w:before="120" w:line="312" w:lineRule="auto"/>
        <w:ind w:right="-341"/>
        <w:jc w:val="center"/>
        <w:rPr>
          <w:rFonts w:ascii="Times New Roman" w:hAnsi="Times New Roman" w:eastAsia="宋体" w:cs="Times New Roman"/>
          <w:b/>
          <w:sz w:val="32"/>
        </w:rPr>
      </w:pPr>
      <w:r>
        <w:rPr>
          <w:rFonts w:hint="eastAsia" w:ascii="Times New Roman" w:hAnsi="Times New Roman" w:eastAsia="宋体" w:cs="Times New Roman"/>
          <w:b/>
          <w:sz w:val="32"/>
        </w:rPr>
        <w:t>四、投标函</w:t>
      </w:r>
    </w:p>
    <w:p w14:paraId="588400DE">
      <w:pPr>
        <w:snapToGrid w:val="0"/>
        <w:spacing w:line="312" w:lineRule="auto"/>
        <w:ind w:right="-341"/>
        <w:rPr>
          <w:rFonts w:ascii="Times New Roman" w:hAnsi="Times New Roman" w:eastAsia="宋体" w:cs="Times New Roman"/>
        </w:rPr>
      </w:pPr>
    </w:p>
    <w:p w14:paraId="1E06D55E">
      <w:pPr>
        <w:snapToGrid w:val="0"/>
        <w:spacing w:line="312" w:lineRule="auto"/>
        <w:ind w:right="-341"/>
        <w:rPr>
          <w:rFonts w:ascii="Times New Roman" w:hAnsi="Times New Roman" w:eastAsia="宋体" w:cs="Times New Roman"/>
        </w:rPr>
      </w:pPr>
      <w:r>
        <w:rPr>
          <w:rFonts w:hint="eastAsia" w:ascii="Times New Roman" w:hAnsi="Times New Roman" w:eastAsia="宋体" w:cs="Times New Roman"/>
        </w:rPr>
        <w:t>致：</w:t>
      </w:r>
      <w:r>
        <w:rPr>
          <w:rFonts w:ascii="Times New Roman" w:hAnsi="Times New Roman" w:eastAsia="宋体" w:cs="Times New Roman"/>
        </w:rPr>
        <w:t>_</w:t>
      </w:r>
      <w:r>
        <w:rPr>
          <w:rFonts w:hint="eastAsia" w:ascii="Times New Roman" w:hAnsi="Times New Roman" w:eastAsia="宋体" w:cs="Times New Roman"/>
          <w:u w:val="single"/>
        </w:rPr>
        <w:t>深圳市国信招标有限公司</w:t>
      </w:r>
      <w:r>
        <w:rPr>
          <w:rFonts w:ascii="Times New Roman" w:hAnsi="Times New Roman" w:eastAsia="宋体" w:cs="Times New Roman"/>
        </w:rPr>
        <w:t>_</w:t>
      </w:r>
      <w:r>
        <w:rPr>
          <w:rFonts w:hint="eastAsia" w:ascii="Times New Roman" w:hAnsi="Times New Roman" w:eastAsia="宋体" w:cs="Times New Roman"/>
        </w:rPr>
        <w:t>：</w:t>
      </w:r>
    </w:p>
    <w:p w14:paraId="516AA113">
      <w:pPr>
        <w:snapToGrid w:val="0"/>
        <w:spacing w:line="312" w:lineRule="auto"/>
        <w:ind w:right="-341" w:firstLine="480"/>
        <w:rPr>
          <w:rFonts w:ascii="Times New Roman" w:hAnsi="Times New Roman" w:eastAsia="宋体" w:cs="Times New Roman"/>
          <w:szCs w:val="21"/>
        </w:rPr>
      </w:pPr>
      <w:r>
        <w:rPr>
          <w:rFonts w:hint="eastAsia" w:ascii="Times New Roman" w:hAnsi="Times New Roman" w:eastAsia="宋体" w:cs="Times New Roman"/>
        </w:rPr>
        <w:t>根据贵方为</w:t>
      </w:r>
      <w:r>
        <w:rPr>
          <w:rFonts w:hint="eastAsia" w:ascii="Times New Roman" w:hAnsi="Times New Roman" w:eastAsia="宋体" w:cs="Times New Roman"/>
          <w:u w:val="single"/>
        </w:rPr>
        <w:t xml:space="preserve">               </w:t>
      </w:r>
      <w:r>
        <w:rPr>
          <w:rFonts w:hint="eastAsia" w:ascii="Times New Roman" w:hAnsi="Times New Roman" w:eastAsia="宋体" w:cs="Times New Roman"/>
        </w:rPr>
        <w:t>项目的招标公告（项目编号：</w:t>
      </w:r>
      <w:r>
        <w:rPr>
          <w:rFonts w:ascii="Times New Roman" w:hAnsi="Times New Roman" w:eastAsia="宋体" w:cs="Times New Roman"/>
        </w:rPr>
        <w:t>____</w:t>
      </w:r>
      <w:r>
        <w:rPr>
          <w:rFonts w:ascii="Times New Roman" w:hAnsi="Times New Roman" w:eastAsia="宋体" w:cs="Times New Roman"/>
          <w:u w:val="single"/>
        </w:rPr>
        <w:t>__</w:t>
      </w:r>
      <w:r>
        <w:rPr>
          <w:rFonts w:ascii="Times New Roman" w:hAnsi="Times New Roman" w:eastAsia="宋体" w:cs="Times New Roman"/>
        </w:rPr>
        <w:t>_</w:t>
      </w:r>
      <w:r>
        <w:rPr>
          <w:rFonts w:hint="eastAsia" w:ascii="Times New Roman" w:hAnsi="Times New Roman" w:eastAsia="宋体" w:cs="Times New Roman"/>
        </w:rPr>
        <w:t>），</w:t>
      </w:r>
      <w:r>
        <w:rPr>
          <w:rFonts w:hint="eastAsia" w:ascii="Times New Roman" w:hAnsi="Times New Roman" w:eastAsia="宋体" w:cs="Times New Roman"/>
          <w:spacing w:val="-4"/>
          <w:kern w:val="0"/>
          <w:szCs w:val="21"/>
        </w:rPr>
        <w:t>同意如下：</w:t>
      </w:r>
    </w:p>
    <w:p w14:paraId="7C961A3A">
      <w:pPr>
        <w:widowControl/>
        <w:spacing w:line="360" w:lineRule="auto"/>
        <w:ind w:right="-341" w:firstLine="387" w:firstLineChars="192"/>
        <w:rPr>
          <w:rFonts w:ascii="Times New Roman" w:hAnsi="Times New Roman" w:eastAsia="宋体" w:cs="Times New Roman"/>
          <w:spacing w:val="-4"/>
          <w:kern w:val="0"/>
          <w:szCs w:val="21"/>
        </w:rPr>
      </w:pPr>
      <w:r>
        <w:rPr>
          <w:rFonts w:ascii="Times New Roman" w:hAnsi="Times New Roman" w:eastAsia="宋体" w:cs="Times New Roman"/>
          <w:spacing w:val="-4"/>
          <w:kern w:val="0"/>
          <w:szCs w:val="21"/>
        </w:rPr>
        <w:t>1.</w:t>
      </w:r>
      <w:r>
        <w:rPr>
          <w:rFonts w:hint="eastAsia" w:ascii="Times New Roman" w:hAnsi="Times New Roman" w:eastAsia="宋体" w:cs="Times New Roman"/>
          <w:spacing w:val="-4"/>
          <w:kern w:val="0"/>
          <w:szCs w:val="21"/>
        </w:rPr>
        <w:t>我方已详细审查了采购文件的全部内容及其相关补充文件</w:t>
      </w:r>
      <w:r>
        <w:rPr>
          <w:rFonts w:hint="eastAsia" w:ascii="Times New Roman" w:hAnsi="Times New Roman" w:eastAsia="宋体" w:cs="Times New Roman"/>
          <w:b/>
          <w:spacing w:val="-4"/>
          <w:kern w:val="0"/>
          <w:szCs w:val="21"/>
        </w:rPr>
        <w:t>（如有）</w:t>
      </w:r>
      <w:r>
        <w:rPr>
          <w:rFonts w:hint="eastAsia" w:ascii="Times New Roman" w:hAnsi="Times New Roman" w:eastAsia="宋体" w:cs="Times New Roman"/>
          <w:spacing w:val="-4"/>
          <w:kern w:val="0"/>
          <w:szCs w:val="21"/>
        </w:rPr>
        <w:t>，并完全清晰理解全部内容及相关的补充文件</w:t>
      </w:r>
      <w:r>
        <w:rPr>
          <w:rFonts w:hint="eastAsia" w:ascii="Times New Roman" w:hAnsi="Times New Roman" w:eastAsia="宋体" w:cs="Times New Roman"/>
          <w:b/>
          <w:spacing w:val="-4"/>
          <w:kern w:val="0"/>
          <w:szCs w:val="21"/>
        </w:rPr>
        <w:t>（如有）</w:t>
      </w:r>
      <w:r>
        <w:rPr>
          <w:rFonts w:hint="eastAsia" w:ascii="Times New Roman" w:hAnsi="Times New Roman" w:eastAsia="宋体" w:cs="Times New Roman"/>
          <w:spacing w:val="-4"/>
          <w:kern w:val="0"/>
          <w:szCs w:val="21"/>
        </w:rPr>
        <w:t>，不存在任何误解之处，同意放弃提出异议和质疑的权利。</w:t>
      </w:r>
    </w:p>
    <w:p w14:paraId="328AB471">
      <w:pPr>
        <w:snapToGrid w:val="0"/>
        <w:spacing w:line="360" w:lineRule="auto"/>
        <w:ind w:right="-341" w:firstLine="404" w:firstLineChars="200"/>
        <w:rPr>
          <w:rFonts w:ascii="Times New Roman" w:hAnsi="Times New Roman" w:eastAsia="宋体" w:cs="Times New Roman"/>
          <w:spacing w:val="-4"/>
          <w:szCs w:val="21"/>
        </w:rPr>
      </w:pPr>
      <w:r>
        <w:rPr>
          <w:rFonts w:ascii="Times New Roman" w:hAnsi="Times New Roman" w:eastAsia="宋体" w:cs="Times New Roman"/>
          <w:spacing w:val="-4"/>
          <w:szCs w:val="21"/>
        </w:rPr>
        <w:t>2.</w:t>
      </w:r>
      <w:r>
        <w:rPr>
          <w:rFonts w:hint="eastAsia" w:ascii="Times New Roman" w:hAnsi="Times New Roman" w:eastAsia="宋体" w:cs="Times New Roman"/>
          <w:spacing w:val="-4"/>
          <w:szCs w:val="21"/>
        </w:rPr>
        <w:t>我方遵守《中华人民共和国政府采购法》及相关法律法规的规定。同意采购文件中所提到的无效标条款，并服从有关开标会议纪律。否则，同意被废除投标资格。</w:t>
      </w:r>
    </w:p>
    <w:p w14:paraId="7D639635">
      <w:pPr>
        <w:spacing w:line="360" w:lineRule="auto"/>
        <w:ind w:right="-341" w:firstLine="404" w:firstLineChars="200"/>
        <w:rPr>
          <w:rFonts w:ascii="Times New Roman" w:hAnsi="Times New Roman" w:eastAsia="宋体" w:cs="Times New Roman"/>
          <w:spacing w:val="-4"/>
          <w:szCs w:val="21"/>
        </w:rPr>
      </w:pPr>
      <w:r>
        <w:rPr>
          <w:rFonts w:ascii="Times New Roman" w:hAnsi="Times New Roman" w:eastAsia="宋体" w:cs="Times New Roman"/>
          <w:spacing w:val="-4"/>
          <w:szCs w:val="21"/>
        </w:rPr>
        <w:t>3.</w:t>
      </w:r>
      <w:r>
        <w:rPr>
          <w:rFonts w:hint="eastAsia" w:ascii="Times New Roman" w:hAnsi="Times New Roman" w:eastAsia="宋体" w:cs="Times New Roman"/>
          <w:spacing w:val="-4"/>
          <w:szCs w:val="21"/>
        </w:rPr>
        <w:t>我方所提供的一次性投标产品报价均具充分的合理性和准确性，保证不存在低于成本的恶意报价行为，同时清楚理解到报价最低并非意味着必定获得合同授予资格。</w:t>
      </w:r>
    </w:p>
    <w:p w14:paraId="0CEBD324">
      <w:pPr>
        <w:spacing w:line="360" w:lineRule="auto"/>
        <w:ind w:right="-341" w:firstLine="404" w:firstLineChars="200"/>
        <w:rPr>
          <w:rFonts w:ascii="Times New Roman" w:hAnsi="Times New Roman" w:eastAsia="宋体" w:cs="Times New Roman"/>
          <w:spacing w:val="-4"/>
          <w:szCs w:val="21"/>
        </w:rPr>
      </w:pPr>
      <w:r>
        <w:rPr>
          <w:rFonts w:ascii="Times New Roman" w:hAnsi="Times New Roman" w:eastAsia="宋体" w:cs="Times New Roman"/>
          <w:spacing w:val="-4"/>
          <w:szCs w:val="21"/>
        </w:rPr>
        <w:t>4.</w:t>
      </w:r>
      <w:r>
        <w:rPr>
          <w:rFonts w:hint="eastAsia" w:ascii="Times New Roman" w:hAnsi="Times New Roman" w:eastAsia="宋体" w:cs="Times New Roman"/>
          <w:spacing w:val="-4"/>
          <w:szCs w:val="21"/>
        </w:rPr>
        <w:t>投标有效期为自开标之日起</w:t>
      </w:r>
      <w:r>
        <w:rPr>
          <w:rFonts w:ascii="Times New Roman" w:hAnsi="Times New Roman" w:eastAsia="宋体" w:cs="Times New Roman"/>
          <w:spacing w:val="-4"/>
          <w:szCs w:val="21"/>
        </w:rPr>
        <w:t>9</w:t>
      </w:r>
      <w:r>
        <w:rPr>
          <w:rFonts w:ascii="Times New Roman" w:hAnsi="Times New Roman" w:eastAsia="宋体" w:cs="Times New Roman"/>
          <w:spacing w:val="-4"/>
          <w:szCs w:val="21"/>
          <w:u w:val="single"/>
        </w:rPr>
        <w:t>0</w:t>
      </w:r>
      <w:r>
        <w:rPr>
          <w:rFonts w:hint="eastAsia" w:ascii="Times New Roman" w:hAnsi="Times New Roman" w:eastAsia="宋体" w:cs="Times New Roman"/>
          <w:spacing w:val="-4"/>
          <w:szCs w:val="21"/>
        </w:rPr>
        <w:t>天内，如在投标有效期内撤回投标，我方同意被废除投标资格。</w:t>
      </w:r>
    </w:p>
    <w:p w14:paraId="527FE742">
      <w:pPr>
        <w:spacing w:line="360" w:lineRule="auto"/>
        <w:ind w:right="-341" w:firstLine="404" w:firstLineChars="200"/>
        <w:rPr>
          <w:rFonts w:ascii="Times New Roman" w:hAnsi="Times New Roman" w:eastAsia="宋体" w:cs="Times New Roman"/>
          <w:spacing w:val="-4"/>
          <w:szCs w:val="21"/>
        </w:rPr>
      </w:pPr>
      <w:r>
        <w:rPr>
          <w:rFonts w:ascii="Times New Roman" w:hAnsi="Times New Roman" w:eastAsia="宋体" w:cs="Times New Roman"/>
          <w:spacing w:val="-4"/>
          <w:szCs w:val="21"/>
        </w:rPr>
        <w:t>5.</w:t>
      </w:r>
      <w:r>
        <w:rPr>
          <w:rFonts w:hint="eastAsia" w:ascii="Times New Roman" w:hAnsi="Times New Roman" w:eastAsia="宋体" w:cs="Times New Roman"/>
          <w:spacing w:val="-4"/>
          <w:szCs w:val="21"/>
        </w:rPr>
        <w:t>我方承诺</w:t>
      </w:r>
      <w:r>
        <w:rPr>
          <w:rFonts w:hint="eastAsia" w:ascii="Times New Roman" w:hAnsi="Times New Roman" w:eastAsia="宋体" w:cs="Times New Roman"/>
          <w:szCs w:val="21"/>
        </w:rPr>
        <w:t>参加政府采购活动前</w:t>
      </w:r>
      <w:r>
        <w:rPr>
          <w:rFonts w:ascii="Times New Roman" w:hAnsi="Times New Roman" w:eastAsia="宋体" w:cs="Times New Roman"/>
          <w:szCs w:val="21"/>
        </w:rPr>
        <w:t>3</w:t>
      </w:r>
      <w:r>
        <w:rPr>
          <w:rFonts w:hint="eastAsia" w:ascii="Times New Roman" w:hAnsi="Times New Roman" w:eastAsia="宋体" w:cs="Times New Roman"/>
          <w:szCs w:val="21"/>
        </w:rPr>
        <w:t>年内在经营活动中没有重大违法记录和依法缴纳了税收</w:t>
      </w:r>
      <w:r>
        <w:rPr>
          <w:rFonts w:hint="eastAsia" w:ascii="Times New Roman" w:hAnsi="Times New Roman" w:eastAsia="宋体" w:cs="Times New Roman"/>
          <w:spacing w:val="-4"/>
          <w:szCs w:val="21"/>
        </w:rPr>
        <w:t>（投标截止时间进行计算）。</w:t>
      </w:r>
    </w:p>
    <w:p w14:paraId="06E1D408">
      <w:pPr>
        <w:spacing w:line="360" w:lineRule="auto"/>
        <w:ind w:right="-341" w:firstLine="404" w:firstLineChars="200"/>
        <w:rPr>
          <w:rFonts w:ascii="Times New Roman" w:hAnsi="Times New Roman" w:eastAsia="宋体" w:cs="Times New Roman"/>
          <w:szCs w:val="21"/>
        </w:rPr>
      </w:pPr>
      <w:r>
        <w:rPr>
          <w:rFonts w:ascii="Times New Roman" w:hAnsi="Times New Roman" w:eastAsia="宋体" w:cs="Times New Roman"/>
          <w:spacing w:val="-4"/>
          <w:szCs w:val="21"/>
        </w:rPr>
        <w:t>6.</w:t>
      </w:r>
      <w:r>
        <w:rPr>
          <w:rFonts w:hint="eastAsia" w:ascii="Times New Roman" w:hAnsi="Times New Roman" w:eastAsia="宋体" w:cs="Times New Roman"/>
          <w:spacing w:val="-4"/>
          <w:szCs w:val="21"/>
        </w:rPr>
        <w:t>我方承诺具备本项目</w:t>
      </w:r>
      <w:r>
        <w:rPr>
          <w:rFonts w:hint="eastAsia" w:ascii="Times New Roman" w:hAnsi="Times New Roman" w:eastAsia="宋体" w:cs="Times New Roman"/>
          <w:szCs w:val="21"/>
        </w:rPr>
        <w:t>履行合同所必需的设备和专业技术能力</w:t>
      </w:r>
    </w:p>
    <w:p w14:paraId="25040496">
      <w:pPr>
        <w:spacing w:line="360" w:lineRule="auto"/>
        <w:ind w:right="-341" w:firstLine="404" w:firstLineChars="200"/>
        <w:rPr>
          <w:rFonts w:ascii="Times New Roman" w:hAnsi="Times New Roman" w:eastAsia="宋体" w:cs="Times New Roman"/>
          <w:spacing w:val="-4"/>
          <w:szCs w:val="21"/>
        </w:rPr>
      </w:pPr>
      <w:r>
        <w:rPr>
          <w:rFonts w:ascii="Times New Roman" w:hAnsi="Times New Roman" w:eastAsia="宋体" w:cs="Times New Roman"/>
          <w:spacing w:val="-4"/>
          <w:szCs w:val="21"/>
        </w:rPr>
        <w:t>7.</w:t>
      </w:r>
      <w:r>
        <w:rPr>
          <w:rFonts w:hint="eastAsia" w:ascii="Times New Roman" w:hAnsi="Times New Roman" w:eastAsia="宋体" w:cs="Times New Roman"/>
          <w:spacing w:val="-4"/>
          <w:szCs w:val="21"/>
        </w:rPr>
        <w:t>我方承诺所提供的一切投标文件经已认真严格审核，内容均为全面真实、准确有效且毫无保留，绝无任何遗漏、虚假、伪造和夸大的成份，若出现违背诚实信用和无如实告知之处，同意被废除投标资格和相关的处罚。</w:t>
      </w:r>
    </w:p>
    <w:p w14:paraId="6F36BBF7">
      <w:pPr>
        <w:spacing w:line="360" w:lineRule="auto"/>
        <w:ind w:right="-341" w:firstLine="404" w:firstLineChars="200"/>
        <w:rPr>
          <w:rFonts w:ascii="Times New Roman" w:hAnsi="Times New Roman" w:eastAsia="宋体" w:cs="Times New Roman"/>
          <w:spacing w:val="-4"/>
          <w:szCs w:val="21"/>
        </w:rPr>
      </w:pPr>
      <w:r>
        <w:rPr>
          <w:rFonts w:ascii="Times New Roman" w:hAnsi="Times New Roman" w:eastAsia="宋体" w:cs="Times New Roman"/>
          <w:spacing w:val="-4"/>
          <w:szCs w:val="21"/>
        </w:rPr>
        <w:t>8.</w:t>
      </w:r>
      <w:r>
        <w:rPr>
          <w:rFonts w:hint="eastAsia" w:ascii="Times New Roman" w:hAnsi="Times New Roman" w:eastAsia="宋体" w:cs="Times New Roman"/>
          <w:spacing w:val="-4"/>
          <w:szCs w:val="21"/>
        </w:rPr>
        <w:t>我方承诺至开标之日止，未被</w:t>
      </w:r>
      <w:r>
        <w:rPr>
          <w:rFonts w:ascii="Times New Roman" w:hAnsi="Times New Roman" w:eastAsia="宋体" w:cs="Times New Roman"/>
          <w:spacing w:val="-4"/>
          <w:szCs w:val="21"/>
        </w:rPr>
        <w:t>“</w:t>
      </w:r>
      <w:r>
        <w:rPr>
          <w:rFonts w:hint="eastAsia" w:ascii="Times New Roman" w:hAnsi="Times New Roman" w:eastAsia="宋体" w:cs="Times New Roman"/>
          <w:spacing w:val="-4"/>
          <w:szCs w:val="21"/>
        </w:rPr>
        <w:t>信用中国</w:t>
      </w:r>
      <w:r>
        <w:rPr>
          <w:rFonts w:ascii="Times New Roman" w:hAnsi="Times New Roman" w:eastAsia="宋体" w:cs="Times New Roman"/>
          <w:spacing w:val="-4"/>
          <w:szCs w:val="21"/>
        </w:rPr>
        <w:t>”</w:t>
      </w:r>
      <w:r>
        <w:rPr>
          <w:rFonts w:hint="eastAsia" w:ascii="Times New Roman" w:hAnsi="Times New Roman" w:eastAsia="宋体" w:cs="Times New Roman"/>
          <w:spacing w:val="-4"/>
          <w:szCs w:val="21"/>
        </w:rPr>
        <w:t>（</w:t>
      </w:r>
      <w:r>
        <w:rPr>
          <w:rFonts w:ascii="Times New Roman" w:hAnsi="Times New Roman" w:eastAsia="宋体" w:cs="Times New Roman"/>
          <w:spacing w:val="-4"/>
          <w:szCs w:val="21"/>
        </w:rPr>
        <w:t>www.creditchina.gov.cn</w:t>
      </w:r>
      <w:r>
        <w:rPr>
          <w:rFonts w:hint="eastAsia" w:ascii="Times New Roman" w:hAnsi="Times New Roman" w:eastAsia="宋体" w:cs="Times New Roman"/>
          <w:spacing w:val="-4"/>
          <w:szCs w:val="21"/>
        </w:rPr>
        <w:t>）、中国政府采购网（</w:t>
      </w:r>
      <w:r>
        <w:rPr>
          <w:rFonts w:ascii="Times New Roman" w:hAnsi="Times New Roman" w:eastAsia="宋体" w:cs="Times New Roman"/>
          <w:spacing w:val="-4"/>
          <w:szCs w:val="21"/>
        </w:rPr>
        <w:t>www.ccgp.gov.cn</w:t>
      </w:r>
      <w:r>
        <w:rPr>
          <w:rFonts w:hint="eastAsia" w:ascii="Times New Roman" w:hAnsi="Times New Roman" w:eastAsia="宋体" w:cs="Times New Roman"/>
          <w:spacing w:val="-4"/>
          <w:szCs w:val="21"/>
        </w:rPr>
        <w:t>）列入失信被执行人、重大税收违法案件当事人名单、政府采购严重违法失信行为记录名单。</w:t>
      </w:r>
    </w:p>
    <w:p w14:paraId="120E9513">
      <w:pPr>
        <w:snapToGrid w:val="0"/>
        <w:spacing w:line="360" w:lineRule="auto"/>
        <w:ind w:right="-341" w:firstLine="420" w:firstLineChars="200"/>
        <w:rPr>
          <w:rFonts w:ascii="Times New Roman" w:hAnsi="Times New Roman" w:eastAsia="宋体" w:cs="Times New Roman"/>
        </w:rPr>
      </w:pPr>
      <w:r>
        <w:rPr>
          <w:rFonts w:ascii="Times New Roman" w:hAnsi="Times New Roman" w:eastAsia="宋体" w:cs="Times New Roman"/>
        </w:rPr>
        <w:t>9.</w:t>
      </w:r>
      <w:r>
        <w:rPr>
          <w:rFonts w:hint="eastAsia" w:ascii="Times New Roman" w:hAnsi="Times New Roman" w:eastAsia="宋体" w:cs="Times New Roman"/>
        </w:rPr>
        <w:t>与本投标有关的一切正式往来信函请寄：</w:t>
      </w:r>
    </w:p>
    <w:p w14:paraId="70B83A66">
      <w:pPr>
        <w:snapToGrid w:val="0"/>
        <w:spacing w:line="312" w:lineRule="auto"/>
        <w:ind w:right="-341"/>
        <w:rPr>
          <w:rFonts w:ascii="Times New Roman" w:hAnsi="Times New Roman" w:eastAsia="宋体" w:cs="Times New Roman"/>
        </w:rPr>
      </w:pPr>
      <w:r>
        <w:rPr>
          <w:rFonts w:hint="eastAsia" w:ascii="Times New Roman" w:hAnsi="Times New Roman" w:eastAsia="宋体" w:cs="Times New Roman"/>
        </w:rPr>
        <w:t>地址：</w:t>
      </w:r>
      <w:r>
        <w:rPr>
          <w:rFonts w:ascii="Times New Roman" w:hAnsi="Times New Roman" w:eastAsia="宋体" w:cs="Times New Roman"/>
        </w:rPr>
        <w:t>__________</w:t>
      </w:r>
      <w:r>
        <w:rPr>
          <w:rFonts w:ascii="Times New Roman" w:hAnsi="Times New Roman" w:eastAsia="宋体" w:cs="Times New Roman"/>
          <w:u w:val="single"/>
        </w:rPr>
        <w:t>_</w:t>
      </w:r>
      <w:r>
        <w:rPr>
          <w:rFonts w:ascii="Times New Roman" w:hAnsi="Times New Roman" w:eastAsia="宋体" w:cs="Times New Roman"/>
        </w:rPr>
        <w:t>____</w:t>
      </w:r>
      <w:r>
        <w:rPr>
          <w:rFonts w:hint="eastAsia" w:ascii="Times New Roman" w:hAnsi="Times New Roman" w:eastAsia="宋体" w:cs="Times New Roman"/>
        </w:rPr>
        <w:t>邮编：</w:t>
      </w:r>
      <w:r>
        <w:rPr>
          <w:rFonts w:ascii="Times New Roman" w:hAnsi="Times New Roman" w:eastAsia="宋体" w:cs="Times New Roman"/>
        </w:rPr>
        <w:t>__________</w:t>
      </w:r>
      <w:r>
        <w:rPr>
          <w:rFonts w:hint="eastAsia" w:ascii="Times New Roman" w:hAnsi="Times New Roman" w:eastAsia="宋体" w:cs="Times New Roman"/>
        </w:rPr>
        <w:t>电话：</w:t>
      </w:r>
      <w:r>
        <w:rPr>
          <w:rFonts w:ascii="Times New Roman" w:hAnsi="Times New Roman" w:eastAsia="宋体" w:cs="Times New Roman"/>
        </w:rPr>
        <w:t>______________</w:t>
      </w:r>
    </w:p>
    <w:p w14:paraId="2035FAA0">
      <w:pPr>
        <w:snapToGrid w:val="0"/>
        <w:spacing w:line="312" w:lineRule="auto"/>
        <w:ind w:right="-341"/>
        <w:rPr>
          <w:rFonts w:ascii="Times New Roman" w:hAnsi="Times New Roman" w:eastAsia="宋体" w:cs="Times New Roman"/>
        </w:rPr>
      </w:pPr>
      <w:r>
        <w:rPr>
          <w:rFonts w:hint="eastAsia" w:ascii="Times New Roman" w:hAnsi="Times New Roman" w:eastAsia="宋体" w:cs="Times New Roman"/>
        </w:rPr>
        <w:t>传真：</w:t>
      </w:r>
      <w:r>
        <w:rPr>
          <w:rFonts w:ascii="Times New Roman" w:hAnsi="Times New Roman" w:eastAsia="宋体" w:cs="Times New Roman"/>
        </w:rPr>
        <w:t>______________</w:t>
      </w:r>
      <w:r>
        <w:rPr>
          <w:rFonts w:hint="eastAsia" w:ascii="Times New Roman" w:hAnsi="Times New Roman" w:eastAsia="宋体" w:cs="Times New Roman"/>
        </w:rPr>
        <w:t>投标人代表姓名</w:t>
      </w:r>
      <w:r>
        <w:rPr>
          <w:rFonts w:ascii="Times New Roman" w:hAnsi="Times New Roman" w:eastAsia="宋体" w:cs="Times New Roman"/>
        </w:rPr>
        <w:t>___________</w:t>
      </w:r>
      <w:r>
        <w:rPr>
          <w:rFonts w:hint="eastAsia" w:ascii="Times New Roman" w:hAnsi="Times New Roman" w:eastAsia="宋体" w:cs="Times New Roman"/>
        </w:rPr>
        <w:t>职务：</w:t>
      </w:r>
      <w:r>
        <w:rPr>
          <w:rFonts w:ascii="Times New Roman" w:hAnsi="Times New Roman" w:eastAsia="宋体" w:cs="Times New Roman"/>
        </w:rPr>
        <w:t>_____________</w:t>
      </w:r>
    </w:p>
    <w:p w14:paraId="463527D2">
      <w:pPr>
        <w:snapToGrid w:val="0"/>
        <w:spacing w:line="312" w:lineRule="auto"/>
        <w:ind w:right="-341"/>
        <w:rPr>
          <w:rFonts w:ascii="Times New Roman" w:hAnsi="Times New Roman" w:eastAsia="宋体" w:cs="Times New Roman"/>
        </w:rPr>
      </w:pPr>
      <w:r>
        <w:rPr>
          <w:rFonts w:hint="eastAsia" w:ascii="Times New Roman" w:hAnsi="Times New Roman" w:eastAsia="宋体" w:cs="Times New Roman"/>
        </w:rPr>
        <w:t>投标人名称</w:t>
      </w:r>
      <w:r>
        <w:rPr>
          <w:rFonts w:ascii="Times New Roman" w:hAnsi="Times New Roman" w:eastAsia="宋体" w:cs="Times New Roman"/>
        </w:rPr>
        <w:t>(</w:t>
      </w:r>
      <w:r>
        <w:rPr>
          <w:rFonts w:hint="eastAsia" w:ascii="Times New Roman" w:hAnsi="Times New Roman" w:eastAsia="宋体" w:cs="Times New Roman"/>
        </w:rPr>
        <w:t>公章</w:t>
      </w:r>
      <w:r>
        <w:rPr>
          <w:rFonts w:ascii="Times New Roman" w:hAnsi="Times New Roman" w:eastAsia="宋体" w:cs="Times New Roman"/>
        </w:rPr>
        <w:t>):___________________</w:t>
      </w:r>
    </w:p>
    <w:p w14:paraId="00FA374E">
      <w:pPr>
        <w:snapToGrid w:val="0"/>
        <w:spacing w:line="312" w:lineRule="auto"/>
        <w:ind w:right="-341"/>
        <w:rPr>
          <w:rFonts w:ascii="Times New Roman" w:hAnsi="Times New Roman" w:eastAsia="宋体" w:cs="Times New Roman"/>
        </w:rPr>
      </w:pPr>
      <w:r>
        <w:rPr>
          <w:rFonts w:hint="eastAsia" w:ascii="Times New Roman" w:hAnsi="Times New Roman" w:eastAsia="宋体" w:cs="Times New Roman"/>
        </w:rPr>
        <w:t>开户银行：银行账号：</w:t>
      </w:r>
    </w:p>
    <w:p w14:paraId="04B60052">
      <w:pPr>
        <w:snapToGrid w:val="0"/>
        <w:ind w:right="-341"/>
        <w:rPr>
          <w:rFonts w:ascii="Times New Roman" w:hAnsi="Times New Roman" w:eastAsia="宋体" w:cs="Times New Roman"/>
        </w:rPr>
      </w:pPr>
    </w:p>
    <w:p w14:paraId="5748035E">
      <w:pPr>
        <w:snapToGrid w:val="0"/>
        <w:spacing w:before="120" w:line="312" w:lineRule="auto"/>
        <w:ind w:right="-341" w:firstLine="2940" w:firstLineChars="1400"/>
        <w:rPr>
          <w:rFonts w:ascii="Times New Roman" w:hAnsi="Times New Roman" w:eastAsia="宋体" w:cs="Times New Roman"/>
        </w:rPr>
      </w:pPr>
      <w:r>
        <w:rPr>
          <w:rFonts w:hint="eastAsia" w:ascii="Times New Roman" w:hAnsi="Times New Roman" w:eastAsia="宋体" w:cs="Times New Roman"/>
        </w:rPr>
        <w:t>日期</w:t>
      </w:r>
      <w:r>
        <w:rPr>
          <w:rFonts w:ascii="Times New Roman" w:hAnsi="Times New Roman" w:eastAsia="宋体" w:cs="Times New Roman"/>
        </w:rPr>
        <w:t>:_____</w:t>
      </w:r>
      <w:r>
        <w:rPr>
          <w:rFonts w:hint="eastAsia" w:ascii="Times New Roman" w:hAnsi="Times New Roman" w:eastAsia="宋体" w:cs="Times New Roman"/>
        </w:rPr>
        <w:t>年</w:t>
      </w:r>
      <w:r>
        <w:rPr>
          <w:rFonts w:ascii="Times New Roman" w:hAnsi="Times New Roman" w:eastAsia="宋体" w:cs="Times New Roman"/>
        </w:rPr>
        <w:t>___</w:t>
      </w:r>
      <w:r>
        <w:rPr>
          <w:rFonts w:hint="eastAsia" w:ascii="Times New Roman" w:hAnsi="Times New Roman" w:eastAsia="宋体" w:cs="Times New Roman"/>
        </w:rPr>
        <w:t>月</w:t>
      </w:r>
      <w:r>
        <w:rPr>
          <w:rFonts w:ascii="Times New Roman" w:hAnsi="Times New Roman" w:eastAsia="宋体" w:cs="Times New Roman"/>
        </w:rPr>
        <w:t>___</w:t>
      </w:r>
      <w:r>
        <w:rPr>
          <w:rFonts w:hint="eastAsia" w:ascii="Times New Roman" w:hAnsi="Times New Roman" w:eastAsia="宋体" w:cs="Times New Roman"/>
        </w:rPr>
        <w:t>日</w:t>
      </w:r>
    </w:p>
    <w:p w14:paraId="6E249FFD">
      <w:pPr>
        <w:snapToGrid w:val="0"/>
        <w:spacing w:line="312" w:lineRule="auto"/>
        <w:ind w:right="-341"/>
        <w:jc w:val="left"/>
        <w:rPr>
          <w:rFonts w:ascii="Times New Roman" w:hAnsi="Times New Roman" w:eastAsia="宋体" w:cs="Times New Roman"/>
          <w:b/>
          <w:sz w:val="24"/>
        </w:rPr>
      </w:pPr>
      <w:r>
        <w:rPr>
          <w:rFonts w:ascii="Times New Roman" w:hAnsi="Times New Roman" w:eastAsia="宋体" w:cs="Times New Roman"/>
          <w:kern w:val="0"/>
        </w:rPr>
        <w:br w:type="page"/>
      </w:r>
    </w:p>
    <w:p w14:paraId="5DC10737">
      <w:pPr>
        <w:snapToGrid w:val="0"/>
        <w:spacing w:before="120" w:line="312" w:lineRule="auto"/>
        <w:ind w:right="-341"/>
        <w:jc w:val="center"/>
        <w:rPr>
          <w:rFonts w:ascii="Times New Roman" w:hAnsi="Times New Roman" w:eastAsia="宋体" w:cs="Times New Roman"/>
          <w:b/>
          <w:sz w:val="32"/>
        </w:rPr>
      </w:pPr>
    </w:p>
    <w:p w14:paraId="1D7D51FC">
      <w:pPr>
        <w:snapToGrid w:val="0"/>
        <w:spacing w:before="120" w:beforeLines="50" w:after="50"/>
        <w:jc w:val="center"/>
        <w:rPr>
          <w:rFonts w:ascii="Times New Roman" w:hAnsi="Times New Roman" w:eastAsia="宋体" w:cs="Times New Roman"/>
          <w:b/>
          <w:sz w:val="32"/>
          <w:szCs w:val="32"/>
        </w:rPr>
      </w:pPr>
      <w:r>
        <w:rPr>
          <w:rFonts w:hint="eastAsia" w:ascii="Times New Roman" w:hAnsi="Times New Roman" w:eastAsia="宋体" w:cs="Times New Roman"/>
          <w:b/>
          <w:sz w:val="32"/>
          <w:szCs w:val="32"/>
        </w:rPr>
        <w:t>五、声明函</w:t>
      </w:r>
    </w:p>
    <w:p w14:paraId="2F6671F7">
      <w:pPr>
        <w:snapToGrid w:val="0"/>
        <w:spacing w:before="120" w:beforeLines="50" w:after="50" w:line="360" w:lineRule="auto"/>
        <w:rPr>
          <w:rFonts w:ascii="Times New Roman" w:hAnsi="Times New Roman" w:eastAsia="宋体" w:cs="Times New Roman"/>
          <w:szCs w:val="21"/>
        </w:rPr>
      </w:pPr>
    </w:p>
    <w:p w14:paraId="677BBCFD">
      <w:pPr>
        <w:snapToGrid w:val="0"/>
        <w:spacing w:before="120" w:beforeLines="50" w:after="50" w:line="360" w:lineRule="auto"/>
        <w:rPr>
          <w:rFonts w:ascii="Times New Roman" w:hAnsi="Times New Roman" w:eastAsia="宋体" w:cs="Times New Roman"/>
          <w:szCs w:val="21"/>
        </w:rPr>
      </w:pPr>
      <w:r>
        <w:rPr>
          <w:rFonts w:hint="eastAsia" w:ascii="Times New Roman" w:hAnsi="Times New Roman" w:eastAsia="宋体" w:cs="Times New Roman"/>
          <w:szCs w:val="21"/>
        </w:rPr>
        <w:t>致：</w:t>
      </w:r>
      <w:r>
        <w:rPr>
          <w:rFonts w:ascii="Times New Roman" w:hAnsi="Times New Roman" w:eastAsia="宋体" w:cs="Times New Roman"/>
          <w:szCs w:val="21"/>
        </w:rPr>
        <w:t>_</w:t>
      </w:r>
      <w:r>
        <w:rPr>
          <w:rFonts w:hint="eastAsia" w:ascii="Times New Roman" w:hAnsi="Times New Roman" w:eastAsia="宋体" w:cs="Times New Roman"/>
          <w:u w:val="single"/>
        </w:rPr>
        <w:t>深圳市国信招标有限公司</w:t>
      </w:r>
      <w:r>
        <w:rPr>
          <w:rFonts w:ascii="Times New Roman" w:hAnsi="Times New Roman" w:eastAsia="宋体" w:cs="Times New Roman"/>
        </w:rPr>
        <w:t>_</w:t>
      </w:r>
      <w:r>
        <w:rPr>
          <w:rFonts w:hint="eastAsia" w:ascii="Times New Roman" w:hAnsi="Times New Roman" w:eastAsia="宋体" w:cs="Times New Roman"/>
          <w:szCs w:val="21"/>
        </w:rPr>
        <w:t>：</w:t>
      </w:r>
    </w:p>
    <w:p w14:paraId="725253B2">
      <w:pPr>
        <w:spacing w:after="120"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我方在参加政府采购活动前三年内，具有良好的商业信誉，依法缴纳税收和社会保障资金，未被列入失信被执行人名单、重大税收违法案件当事人名单、政府采购严重违法失信行为记录名单，在经营活动中没有重大违法记录（没有因违法经营受到刑事处罚，没有被责令停产停业、被吊销许可证或者执照、被处以较大数额罚款等行政处罚，没有因违法经营被禁止参加政府采购活动的期限未满情形）。如有虚假，采购人可取消我方任何资格（投标</w:t>
      </w:r>
      <w:r>
        <w:rPr>
          <w:rFonts w:ascii="Times New Roman" w:hAnsi="Times New Roman" w:eastAsia="宋体" w:cs="Times New Roman"/>
          <w:szCs w:val="21"/>
        </w:rPr>
        <w:t>/</w:t>
      </w:r>
      <w:r>
        <w:rPr>
          <w:rFonts w:hint="eastAsia" w:ascii="Times New Roman" w:hAnsi="Times New Roman" w:eastAsia="宋体" w:cs="Times New Roman"/>
          <w:szCs w:val="21"/>
        </w:rPr>
        <w:t>中标</w:t>
      </w:r>
      <w:r>
        <w:rPr>
          <w:rFonts w:ascii="Times New Roman" w:hAnsi="Times New Roman" w:eastAsia="宋体" w:cs="Times New Roman"/>
          <w:szCs w:val="21"/>
        </w:rPr>
        <w:t>/</w:t>
      </w:r>
      <w:r>
        <w:rPr>
          <w:rFonts w:hint="eastAsia" w:ascii="Times New Roman" w:hAnsi="Times New Roman" w:eastAsia="宋体" w:cs="Times New Roman"/>
          <w:szCs w:val="21"/>
        </w:rPr>
        <w:t>签订合同），我方对此无任何异议。</w:t>
      </w:r>
    </w:p>
    <w:p w14:paraId="3584C028">
      <w:pPr>
        <w:spacing w:after="120"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特此声明！</w:t>
      </w:r>
    </w:p>
    <w:p w14:paraId="274F610E">
      <w:pPr>
        <w:spacing w:after="120"/>
        <w:ind w:firstLine="480"/>
        <w:rPr>
          <w:rFonts w:ascii="Times New Roman" w:hAnsi="Times New Roman" w:eastAsia="宋体" w:cs="Times New Roman"/>
        </w:rPr>
      </w:pPr>
    </w:p>
    <w:p w14:paraId="68D5571E">
      <w:pPr>
        <w:snapToGrid w:val="0"/>
        <w:spacing w:before="120" w:beforeLines="50"/>
        <w:ind w:firstLine="200"/>
        <w:rPr>
          <w:rFonts w:ascii="Times New Roman" w:hAnsi="Times New Roman" w:eastAsia="宋体" w:cs="Times New Roman"/>
        </w:rPr>
      </w:pPr>
    </w:p>
    <w:p w14:paraId="5B2369AF">
      <w:pPr>
        <w:snapToGrid w:val="0"/>
        <w:spacing w:before="50" w:after="50"/>
        <w:rPr>
          <w:rFonts w:ascii="Times New Roman" w:hAnsi="Times New Roman" w:eastAsia="宋体" w:cs="Times New Roman"/>
        </w:rPr>
      </w:pPr>
    </w:p>
    <w:p w14:paraId="30CD5DB5">
      <w:pPr>
        <w:snapToGrid w:val="0"/>
        <w:ind w:left="2" w:right="-817" w:rightChars="-389"/>
        <w:rPr>
          <w:rFonts w:ascii="Times New Roman" w:hAnsi="Times New Roman" w:eastAsia="宋体" w:cs="Times New Roman"/>
        </w:rPr>
      </w:pPr>
    </w:p>
    <w:p w14:paraId="738A82B0">
      <w:pPr>
        <w:snapToGrid w:val="0"/>
        <w:spacing w:before="50" w:line="312" w:lineRule="auto"/>
        <w:jc w:val="left"/>
        <w:rPr>
          <w:rFonts w:ascii="Times New Roman" w:hAnsi="Times New Roman" w:eastAsia="宋体" w:cs="Times New Roman"/>
          <w:b/>
          <w:spacing w:val="20"/>
          <w:sz w:val="28"/>
        </w:rPr>
      </w:pPr>
      <w:r>
        <w:rPr>
          <w:rFonts w:hint="eastAsia" w:ascii="Times New Roman" w:hAnsi="Times New Roman" w:eastAsia="宋体" w:cs="Times New Roman"/>
        </w:rPr>
        <w:t>投标人名称（盖章）：日期：</w:t>
      </w:r>
    </w:p>
    <w:p w14:paraId="379D4C70">
      <w:pPr>
        <w:snapToGrid w:val="0"/>
        <w:spacing w:before="120" w:beforeLines="50"/>
        <w:ind w:firstLine="200"/>
        <w:jc w:val="right"/>
        <w:rPr>
          <w:rFonts w:ascii="Times New Roman" w:hAnsi="Times New Roman" w:eastAsia="宋体" w:cs="Times New Roman"/>
          <w:szCs w:val="24"/>
        </w:rPr>
      </w:pPr>
    </w:p>
    <w:p w14:paraId="27408F86">
      <w:pPr>
        <w:snapToGrid w:val="0"/>
        <w:spacing w:before="120" w:beforeLines="50" w:after="50"/>
        <w:ind w:firstLine="482" w:firstLineChars="200"/>
        <w:jc w:val="left"/>
        <w:rPr>
          <w:rFonts w:ascii="Times New Roman" w:hAnsi="Times New Roman" w:eastAsia="宋体" w:cs="Times New Roman"/>
          <w:b/>
          <w:bCs/>
          <w:sz w:val="24"/>
        </w:rPr>
      </w:pPr>
    </w:p>
    <w:p w14:paraId="04C4EEE9">
      <w:pPr>
        <w:snapToGrid w:val="0"/>
        <w:spacing w:before="120" w:beforeLines="50"/>
        <w:ind w:left="5250" w:firstLine="200"/>
        <w:jc w:val="right"/>
        <w:rPr>
          <w:rFonts w:ascii="Times New Roman" w:hAnsi="Times New Roman" w:eastAsia="宋体" w:cs="Times New Roman"/>
          <w:szCs w:val="24"/>
        </w:rPr>
      </w:pPr>
    </w:p>
    <w:p w14:paraId="2453A201">
      <w:pPr>
        <w:snapToGrid w:val="0"/>
        <w:spacing w:before="120" w:line="312" w:lineRule="auto"/>
        <w:ind w:right="-341"/>
        <w:jc w:val="center"/>
        <w:rPr>
          <w:rFonts w:ascii="Times New Roman" w:hAnsi="Times New Roman" w:eastAsia="宋体" w:cs="Times New Roman"/>
          <w:b/>
          <w:sz w:val="32"/>
        </w:rPr>
      </w:pPr>
    </w:p>
    <w:p w14:paraId="459C13D0">
      <w:pPr>
        <w:snapToGrid w:val="0"/>
        <w:spacing w:before="120" w:line="312" w:lineRule="auto"/>
        <w:ind w:right="-341"/>
        <w:jc w:val="center"/>
        <w:rPr>
          <w:rFonts w:ascii="Times New Roman" w:hAnsi="Times New Roman" w:eastAsia="宋体" w:cs="Times New Roman"/>
          <w:b/>
          <w:sz w:val="32"/>
        </w:rPr>
      </w:pPr>
    </w:p>
    <w:p w14:paraId="5192477F">
      <w:pPr>
        <w:snapToGrid w:val="0"/>
        <w:spacing w:before="120" w:line="312" w:lineRule="auto"/>
        <w:ind w:right="-341"/>
        <w:jc w:val="center"/>
        <w:rPr>
          <w:rFonts w:ascii="Times New Roman" w:hAnsi="Times New Roman" w:eastAsia="宋体" w:cs="Times New Roman"/>
          <w:b/>
          <w:sz w:val="32"/>
        </w:rPr>
      </w:pPr>
    </w:p>
    <w:p w14:paraId="6F7D5524">
      <w:pPr>
        <w:snapToGrid w:val="0"/>
        <w:spacing w:before="120" w:line="312" w:lineRule="auto"/>
        <w:ind w:right="-341"/>
        <w:jc w:val="center"/>
        <w:rPr>
          <w:rFonts w:ascii="Times New Roman" w:hAnsi="Times New Roman" w:eastAsia="宋体" w:cs="Times New Roman"/>
          <w:b/>
          <w:sz w:val="32"/>
        </w:rPr>
      </w:pPr>
    </w:p>
    <w:p w14:paraId="0150E710">
      <w:pPr>
        <w:snapToGrid w:val="0"/>
        <w:spacing w:line="312" w:lineRule="auto"/>
        <w:jc w:val="left"/>
        <w:rPr>
          <w:rFonts w:ascii="Times New Roman" w:hAnsi="Times New Roman" w:eastAsia="宋体" w:cs="Times New Roman"/>
          <w:b/>
          <w:sz w:val="32"/>
        </w:rPr>
      </w:pPr>
    </w:p>
    <w:p w14:paraId="750D926B">
      <w:pPr>
        <w:snapToGrid w:val="0"/>
        <w:spacing w:line="312" w:lineRule="auto"/>
        <w:jc w:val="left"/>
        <w:rPr>
          <w:rFonts w:ascii="Times New Roman" w:hAnsi="Times New Roman" w:eastAsia="宋体" w:cs="Times New Roman"/>
          <w:b/>
          <w:sz w:val="32"/>
        </w:rPr>
      </w:pPr>
    </w:p>
    <w:p w14:paraId="005C2D54">
      <w:pPr>
        <w:snapToGrid w:val="0"/>
        <w:spacing w:line="312" w:lineRule="auto"/>
        <w:jc w:val="left"/>
        <w:rPr>
          <w:rFonts w:ascii="Times New Roman" w:hAnsi="Times New Roman" w:eastAsia="宋体" w:cs="Times New Roman"/>
          <w:b/>
          <w:sz w:val="32"/>
        </w:rPr>
      </w:pPr>
    </w:p>
    <w:p w14:paraId="61DFCD94">
      <w:pPr>
        <w:snapToGrid w:val="0"/>
        <w:spacing w:line="312" w:lineRule="auto"/>
        <w:jc w:val="left"/>
        <w:rPr>
          <w:rFonts w:ascii="Times New Roman" w:hAnsi="Times New Roman" w:eastAsia="宋体" w:cs="Times New Roman"/>
          <w:b/>
          <w:sz w:val="32"/>
        </w:rPr>
      </w:pPr>
    </w:p>
    <w:p w14:paraId="4AA79694">
      <w:pPr>
        <w:snapToGrid w:val="0"/>
        <w:spacing w:line="312" w:lineRule="auto"/>
        <w:jc w:val="left"/>
        <w:rPr>
          <w:rFonts w:ascii="Times New Roman" w:hAnsi="Times New Roman" w:eastAsia="宋体" w:cs="Times New Roman"/>
          <w:b/>
          <w:sz w:val="32"/>
        </w:rPr>
      </w:pPr>
    </w:p>
    <w:p w14:paraId="3A585092">
      <w:pPr>
        <w:snapToGrid w:val="0"/>
        <w:spacing w:line="312" w:lineRule="auto"/>
        <w:jc w:val="left"/>
        <w:rPr>
          <w:rFonts w:ascii="Times New Roman" w:hAnsi="Times New Roman" w:eastAsia="宋体" w:cs="Times New Roman"/>
          <w:b/>
          <w:sz w:val="32"/>
        </w:rPr>
      </w:pPr>
    </w:p>
    <w:p w14:paraId="1A4C889D">
      <w:pPr>
        <w:snapToGrid w:val="0"/>
        <w:spacing w:line="312" w:lineRule="auto"/>
        <w:jc w:val="left"/>
        <w:rPr>
          <w:rFonts w:ascii="Times New Roman" w:hAnsi="Times New Roman" w:eastAsia="宋体" w:cs="Times New Roman"/>
          <w:b/>
          <w:sz w:val="24"/>
        </w:rPr>
      </w:pPr>
    </w:p>
    <w:p w14:paraId="7786633E">
      <w:pPr>
        <w:snapToGrid w:val="0"/>
        <w:spacing w:line="312" w:lineRule="auto"/>
        <w:jc w:val="left"/>
        <w:rPr>
          <w:rFonts w:ascii="Times New Roman" w:hAnsi="Times New Roman" w:eastAsia="宋体" w:cs="Times New Roman"/>
          <w:b/>
          <w:sz w:val="24"/>
        </w:rPr>
      </w:pPr>
    </w:p>
    <w:p w14:paraId="3BDC6327">
      <w:pPr>
        <w:jc w:val="center"/>
        <w:rPr>
          <w:rFonts w:ascii="Times New Roman" w:hAnsi="Times New Roman" w:eastAsia="宋体" w:cs="Times New Roman"/>
          <w:b/>
          <w:spacing w:val="20"/>
          <w:sz w:val="28"/>
        </w:rPr>
      </w:pPr>
    </w:p>
    <w:p w14:paraId="72878A99">
      <w:pPr>
        <w:jc w:val="center"/>
        <w:rPr>
          <w:rFonts w:ascii="Times New Roman" w:hAnsi="Times New Roman" w:eastAsia="宋体" w:cs="Times New Roman"/>
          <w:sz w:val="30"/>
          <w:szCs w:val="30"/>
        </w:rPr>
      </w:pPr>
      <w:r>
        <w:rPr>
          <w:rFonts w:hint="eastAsia" w:ascii="Times New Roman" w:hAnsi="Times New Roman" w:eastAsia="宋体" w:cs="Times New Roman"/>
          <w:b/>
          <w:spacing w:val="20"/>
          <w:sz w:val="28"/>
        </w:rPr>
        <w:t>六、</w:t>
      </w:r>
      <w:r>
        <w:rPr>
          <w:rFonts w:hint="eastAsia" w:ascii="Times New Roman" w:hAnsi="Times New Roman" w:eastAsia="宋体" w:cs="Times New Roman"/>
          <w:b/>
          <w:bCs/>
          <w:sz w:val="30"/>
          <w:szCs w:val="30"/>
        </w:rPr>
        <w:t>廉政承诺书</w:t>
      </w:r>
    </w:p>
    <w:p w14:paraId="5BCE0419">
      <w:pPr>
        <w:rPr>
          <w:rFonts w:ascii="Times New Roman" w:hAnsi="Times New Roman" w:eastAsia="宋体" w:cs="Times New Roman"/>
          <w:b/>
          <w:bCs/>
          <w:sz w:val="28"/>
          <w:szCs w:val="28"/>
        </w:rPr>
      </w:pPr>
    </w:p>
    <w:p w14:paraId="4D4B072E">
      <w:pPr>
        <w:rPr>
          <w:rFonts w:ascii="Times New Roman" w:hAnsi="Times New Roman" w:eastAsia="宋体" w:cs="Times New Roman"/>
          <w:b/>
          <w:bCs/>
          <w:szCs w:val="21"/>
        </w:rPr>
      </w:pPr>
      <w:r>
        <w:rPr>
          <w:rFonts w:hint="eastAsia" w:ascii="Times New Roman" w:hAnsi="Times New Roman" w:eastAsia="宋体" w:cs="Times New Roman"/>
          <w:b/>
          <w:bCs/>
          <w:szCs w:val="21"/>
        </w:rPr>
        <w:t>致：</w:t>
      </w:r>
      <w:r>
        <w:rPr>
          <w:rFonts w:hint="eastAsia" w:ascii="Times New Roman" w:hAnsi="Times New Roman" w:eastAsia="宋体" w:cs="Times New Roman"/>
          <w:b/>
          <w:bCs/>
          <w:szCs w:val="21"/>
          <w:u w:val="single"/>
        </w:rPr>
        <w:t>深圳市国信招标有限公司</w:t>
      </w:r>
      <w:r>
        <w:rPr>
          <w:rFonts w:hint="eastAsia" w:ascii="Times New Roman" w:hAnsi="Times New Roman" w:eastAsia="宋体" w:cs="Times New Roman"/>
          <w:b/>
          <w:bCs/>
          <w:szCs w:val="21"/>
        </w:rPr>
        <w:t>：</w:t>
      </w:r>
    </w:p>
    <w:p w14:paraId="39690E06">
      <w:pPr>
        <w:spacing w:line="360" w:lineRule="auto"/>
        <w:ind w:firstLine="420" w:firstLineChars="200"/>
        <w:rPr>
          <w:rFonts w:ascii="Times New Roman" w:hAnsi="Times New Roman" w:eastAsia="宋体" w:cs="Times New Roman"/>
          <w:szCs w:val="21"/>
        </w:rPr>
      </w:pPr>
    </w:p>
    <w:p w14:paraId="76391CD0">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我单位响应你单位</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项目招标要求参加投标，在这次投标过程中和中标后，我们将严格遵守国家法律法规要求，并郑重承诺</w:t>
      </w:r>
      <w:r>
        <w:rPr>
          <w:rFonts w:ascii="Times New Roman" w:hAnsi="Times New Roman" w:eastAsia="宋体" w:cs="Times New Roman"/>
          <w:szCs w:val="21"/>
        </w:rPr>
        <w:t>:</w:t>
      </w:r>
    </w:p>
    <w:p w14:paraId="7A42D0E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一、不向项目有关人员及部门赠送礼金礼物、有价证券、回扣以及中介费、介绍费、咨询费等好处费。</w:t>
      </w:r>
    </w:p>
    <w:p w14:paraId="5B003DE4">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二、不为项目有关人员及部门报销应由你方单位或个人支付的费用</w:t>
      </w:r>
      <w:r>
        <w:rPr>
          <w:rFonts w:ascii="Times New Roman" w:hAnsi="Times New Roman" w:eastAsia="宋体" w:cs="Times New Roman"/>
          <w:szCs w:val="21"/>
        </w:rPr>
        <w:t>;</w:t>
      </w:r>
    </w:p>
    <w:p w14:paraId="541E7298">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三、不向项目有关人员及部门提供有可能影响公正的宴请和健身娱乐等活动</w:t>
      </w:r>
      <w:r>
        <w:rPr>
          <w:rFonts w:ascii="Times New Roman" w:hAnsi="Times New Roman" w:eastAsia="宋体" w:cs="Times New Roman"/>
          <w:szCs w:val="21"/>
        </w:rPr>
        <w:t>;</w:t>
      </w:r>
    </w:p>
    <w:p w14:paraId="17EFED35">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四、不为项目有关人员及部门出国</w:t>
      </w:r>
      <w:r>
        <w:rPr>
          <w:rFonts w:ascii="Times New Roman" w:hAnsi="Times New Roman" w:eastAsia="宋体" w:cs="Times New Roman"/>
          <w:szCs w:val="21"/>
        </w:rPr>
        <w:t>(</w:t>
      </w:r>
      <w:r>
        <w:rPr>
          <w:rFonts w:hint="eastAsia" w:ascii="Times New Roman" w:hAnsi="Times New Roman" w:eastAsia="宋体" w:cs="Times New Roman"/>
          <w:szCs w:val="21"/>
        </w:rPr>
        <w:t>境</w:t>
      </w:r>
      <w:r>
        <w:rPr>
          <w:rFonts w:ascii="Times New Roman" w:hAnsi="Times New Roman" w:eastAsia="宋体" w:cs="Times New Roman"/>
          <w:szCs w:val="21"/>
        </w:rPr>
        <w:t>)</w:t>
      </w:r>
      <w:r>
        <w:rPr>
          <w:rFonts w:hint="eastAsia" w:ascii="Times New Roman" w:hAnsi="Times New Roman" w:eastAsia="宋体" w:cs="Times New Roman"/>
          <w:szCs w:val="21"/>
        </w:rPr>
        <w:t>、旅游等提供方便；</w:t>
      </w:r>
    </w:p>
    <w:p w14:paraId="753E36A2">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五、不为项目有关人员个人装修住房、婚丧嫁娶、配偶子女工作安排等提供好处</w:t>
      </w:r>
      <w:r>
        <w:rPr>
          <w:rFonts w:ascii="Times New Roman" w:hAnsi="Times New Roman" w:eastAsia="宋体" w:cs="Times New Roman"/>
          <w:szCs w:val="21"/>
        </w:rPr>
        <w:t>;</w:t>
      </w:r>
    </w:p>
    <w:p w14:paraId="5F486A1E">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六、严格遵守政府采购法、民法典等法律，诚实守信，合法经营，坚决抵制各种违法违纪行为。</w:t>
      </w:r>
    </w:p>
    <w:p w14:paraId="5330C7AA">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如违反上述承诺，你单位有权立即取消我单位投标、中标资格，有权拒绝我单位在一定时期内进入你单位进行项目建设或其他经营活动，并通报政府采购监管部门，由此引起的相应损失均由我单位承担。</w:t>
      </w:r>
    </w:p>
    <w:p w14:paraId="39FC5DB2">
      <w:pPr>
        <w:rPr>
          <w:rFonts w:ascii="Times New Roman" w:hAnsi="Times New Roman" w:eastAsia="宋体" w:cs="Times New Roman"/>
          <w:szCs w:val="21"/>
        </w:rPr>
      </w:pPr>
    </w:p>
    <w:p w14:paraId="63CD5BF0">
      <w:pPr>
        <w:rPr>
          <w:rFonts w:ascii="Times New Roman" w:hAnsi="Times New Roman" w:eastAsia="宋体" w:cs="Times New Roman"/>
          <w:szCs w:val="21"/>
        </w:rPr>
      </w:pPr>
    </w:p>
    <w:p w14:paraId="47B52094">
      <w:pPr>
        <w:rPr>
          <w:rFonts w:ascii="Times New Roman" w:hAnsi="Times New Roman" w:eastAsia="宋体" w:cs="Times New Roman"/>
          <w:szCs w:val="21"/>
        </w:rPr>
      </w:pPr>
      <w:r>
        <w:rPr>
          <w:rFonts w:hint="eastAsia" w:ascii="Times New Roman" w:hAnsi="Times New Roman" w:eastAsia="宋体" w:cs="Times New Roman"/>
          <w:szCs w:val="21"/>
        </w:rPr>
        <w:t>投标人</w:t>
      </w:r>
      <w:r>
        <w:rPr>
          <w:rFonts w:ascii="Times New Roman" w:hAnsi="Times New Roman" w:eastAsia="宋体" w:cs="Times New Roman"/>
          <w:szCs w:val="21"/>
        </w:rPr>
        <w:t>:(</w:t>
      </w:r>
      <w:r>
        <w:rPr>
          <w:rFonts w:hint="eastAsia" w:ascii="Times New Roman" w:hAnsi="Times New Roman" w:eastAsia="宋体" w:cs="Times New Roman"/>
          <w:szCs w:val="21"/>
        </w:rPr>
        <w:t>盖章</w:t>
      </w:r>
      <w:r>
        <w:rPr>
          <w:rFonts w:ascii="Times New Roman" w:hAnsi="Times New Roman" w:eastAsia="宋体" w:cs="Times New Roman"/>
          <w:szCs w:val="21"/>
        </w:rPr>
        <w:t>)</w:t>
      </w:r>
    </w:p>
    <w:p w14:paraId="18D5C749">
      <w:pPr>
        <w:rPr>
          <w:rFonts w:ascii="Times New Roman" w:hAnsi="Times New Roman" w:eastAsia="宋体" w:cs="Times New Roman"/>
          <w:szCs w:val="21"/>
        </w:rPr>
      </w:pPr>
    </w:p>
    <w:p w14:paraId="7E21B16A">
      <w:pPr>
        <w:rPr>
          <w:rFonts w:ascii="Times New Roman" w:hAnsi="Times New Roman" w:eastAsia="宋体" w:cs="Times New Roman"/>
          <w:szCs w:val="21"/>
        </w:rPr>
      </w:pPr>
    </w:p>
    <w:p w14:paraId="158B5133">
      <w:pPr>
        <w:rPr>
          <w:rFonts w:ascii="Times New Roman" w:hAnsi="Times New Roman" w:eastAsia="宋体" w:cs="Times New Roman"/>
          <w:szCs w:val="21"/>
        </w:rPr>
      </w:pPr>
    </w:p>
    <w:p w14:paraId="7336FED8">
      <w:pPr>
        <w:rPr>
          <w:rFonts w:ascii="Times New Roman" w:hAnsi="Times New Roman" w:eastAsia="宋体" w:cs="Times New Roman"/>
          <w:szCs w:val="21"/>
        </w:rPr>
      </w:pPr>
    </w:p>
    <w:p w14:paraId="2809D6AC">
      <w:pPr>
        <w:rPr>
          <w:rFonts w:ascii="Times New Roman" w:hAnsi="Times New Roman" w:eastAsia="宋体" w:cs="Times New Roman"/>
          <w:szCs w:val="21"/>
        </w:rPr>
      </w:pPr>
    </w:p>
    <w:p w14:paraId="71967702">
      <w:pPr>
        <w:rPr>
          <w:rFonts w:ascii="Times New Roman" w:hAnsi="Times New Roman" w:eastAsia="宋体" w:cs="Times New Roman"/>
          <w:szCs w:val="21"/>
        </w:rPr>
      </w:pPr>
      <w:r>
        <w:rPr>
          <w:rFonts w:hint="eastAsia" w:ascii="Times New Roman" w:hAnsi="Times New Roman" w:eastAsia="宋体" w:cs="Times New Roman"/>
          <w:szCs w:val="21"/>
        </w:rPr>
        <w:t>日期</w:t>
      </w:r>
      <w:r>
        <w:rPr>
          <w:rFonts w:ascii="Times New Roman" w:hAnsi="Times New Roman" w:eastAsia="宋体" w:cs="Times New Roman"/>
          <w:szCs w:val="21"/>
        </w:rPr>
        <w:t>:</w:t>
      </w:r>
      <w:r>
        <w:rPr>
          <w:rFonts w:hint="eastAsia" w:ascii="Times New Roman" w:hAnsi="Times New Roman" w:eastAsia="宋体" w:cs="Times New Roman"/>
          <w:szCs w:val="21"/>
        </w:rPr>
        <w:t>年月日</w:t>
      </w:r>
    </w:p>
    <w:p w14:paraId="4CB9A6E0">
      <w:pPr>
        <w:snapToGrid w:val="0"/>
        <w:spacing w:before="50" w:line="312" w:lineRule="auto"/>
        <w:jc w:val="left"/>
        <w:rPr>
          <w:rFonts w:ascii="Times New Roman" w:hAnsi="Times New Roman" w:eastAsia="宋体" w:cs="Times New Roman"/>
          <w:b/>
          <w:spacing w:val="20"/>
          <w:sz w:val="28"/>
        </w:rPr>
      </w:pPr>
    </w:p>
    <w:p w14:paraId="7C228948">
      <w:pPr>
        <w:snapToGrid w:val="0"/>
        <w:spacing w:before="120" w:line="312" w:lineRule="auto"/>
        <w:ind w:right="-341"/>
        <w:rPr>
          <w:rFonts w:ascii="Times New Roman" w:hAnsi="Times New Roman" w:eastAsia="宋体" w:cs="Times New Roman"/>
          <w:b/>
          <w:sz w:val="28"/>
          <w:szCs w:val="28"/>
        </w:rPr>
      </w:pPr>
    </w:p>
    <w:p w14:paraId="769C87BF">
      <w:pPr>
        <w:snapToGrid w:val="0"/>
        <w:spacing w:before="120" w:line="312" w:lineRule="auto"/>
        <w:ind w:right="-341"/>
        <w:rPr>
          <w:rFonts w:ascii="Times New Roman" w:hAnsi="Times New Roman" w:eastAsia="宋体" w:cs="Times New Roman"/>
          <w:b/>
          <w:sz w:val="28"/>
          <w:szCs w:val="28"/>
        </w:rPr>
      </w:pPr>
    </w:p>
    <w:p w14:paraId="46A4F1C3">
      <w:pPr>
        <w:snapToGrid w:val="0"/>
        <w:spacing w:before="120" w:line="312" w:lineRule="auto"/>
        <w:ind w:right="-341"/>
        <w:rPr>
          <w:rFonts w:ascii="Times New Roman" w:hAnsi="Times New Roman" w:eastAsia="宋体" w:cs="Times New Roman"/>
          <w:b/>
          <w:sz w:val="28"/>
          <w:szCs w:val="28"/>
        </w:rPr>
      </w:pPr>
    </w:p>
    <w:p w14:paraId="00E0F660">
      <w:pPr>
        <w:snapToGrid w:val="0"/>
        <w:spacing w:before="120" w:line="312" w:lineRule="auto"/>
        <w:ind w:right="-341"/>
        <w:rPr>
          <w:rFonts w:ascii="Times New Roman" w:hAnsi="Times New Roman" w:eastAsia="宋体" w:cs="Times New Roman"/>
          <w:b/>
          <w:sz w:val="28"/>
          <w:szCs w:val="28"/>
        </w:rPr>
      </w:pPr>
    </w:p>
    <w:p w14:paraId="32F7407A">
      <w:pPr>
        <w:snapToGrid w:val="0"/>
        <w:spacing w:before="120" w:line="312" w:lineRule="auto"/>
        <w:ind w:right="-341"/>
        <w:rPr>
          <w:rFonts w:ascii="Times New Roman" w:hAnsi="Times New Roman" w:eastAsia="宋体" w:cs="Times New Roman"/>
          <w:b/>
          <w:sz w:val="28"/>
          <w:szCs w:val="28"/>
        </w:rPr>
      </w:pPr>
    </w:p>
    <w:p w14:paraId="3AEAB8D1">
      <w:pPr>
        <w:snapToGrid w:val="0"/>
        <w:spacing w:before="120" w:line="312" w:lineRule="auto"/>
        <w:ind w:right="-341"/>
        <w:rPr>
          <w:rFonts w:ascii="Times New Roman" w:hAnsi="Times New Roman" w:eastAsia="宋体" w:cs="Times New Roman"/>
          <w:b/>
          <w:sz w:val="28"/>
          <w:szCs w:val="28"/>
        </w:rPr>
      </w:pPr>
    </w:p>
    <w:p w14:paraId="40E58F68">
      <w:pPr>
        <w:snapToGrid w:val="0"/>
        <w:spacing w:before="120" w:line="312" w:lineRule="auto"/>
        <w:ind w:right="-341"/>
        <w:jc w:val="center"/>
        <w:rPr>
          <w:rFonts w:hint="eastAsia" w:ascii="宋体" w:hAnsi="宋体" w:eastAsia="宋体" w:cs="宋体"/>
          <w:b/>
          <w:kern w:val="0"/>
          <w:sz w:val="28"/>
          <w:szCs w:val="28"/>
        </w:rPr>
      </w:pPr>
      <w:r>
        <w:rPr>
          <w:rFonts w:hint="eastAsia" w:ascii="Times New Roman" w:hAnsi="Times New Roman" w:eastAsia="宋体" w:cs="Times New Roman"/>
          <w:b/>
          <w:sz w:val="28"/>
          <w:szCs w:val="28"/>
        </w:rPr>
        <w:t>七、中小企业声明函（货物）</w:t>
      </w:r>
    </w:p>
    <w:p w14:paraId="1E3BCDA8">
      <w:pPr>
        <w:ind w:firstLine="420" w:firstLineChars="200"/>
        <w:rPr>
          <w:rFonts w:ascii="Times New Roman" w:hAnsi="Times New Roman" w:eastAsia="宋体" w:cs="Times New Roman"/>
        </w:rPr>
      </w:pPr>
    </w:p>
    <w:p w14:paraId="7779F1ED">
      <w:pPr>
        <w:spacing w:line="360" w:lineRule="auto"/>
        <w:ind w:firstLine="420" w:firstLineChars="200"/>
        <w:rPr>
          <w:rFonts w:ascii="宋体" w:hAnsi="Times New Roman" w:eastAsia="宋体" w:cs="Times New Roman"/>
          <w:szCs w:val="21"/>
        </w:rPr>
      </w:pPr>
    </w:p>
    <w:p w14:paraId="538F6686">
      <w:pPr>
        <w:spacing w:line="360" w:lineRule="auto"/>
        <w:ind w:firstLine="420" w:firstLineChars="200"/>
        <w:rPr>
          <w:rFonts w:ascii="宋体" w:hAnsi="Times New Roman" w:eastAsia="宋体" w:cs="Times New Roman"/>
          <w:szCs w:val="21"/>
        </w:rPr>
      </w:pPr>
      <w:r>
        <w:rPr>
          <w:rFonts w:hint="eastAsia" w:ascii="宋体" w:hAnsi="宋体" w:eastAsia="宋体" w:cs="Times New Roman"/>
          <w:szCs w:val="21"/>
        </w:rPr>
        <w:t>本公司郑重声明，根据《政府采购促进中小企业发展管理办法》（财库﹝</w:t>
      </w:r>
      <w:r>
        <w:rPr>
          <w:rFonts w:ascii="宋体" w:hAnsi="宋体" w:eastAsia="宋体" w:cs="Times New Roman"/>
          <w:szCs w:val="21"/>
        </w:rPr>
        <w:t>2020</w:t>
      </w:r>
      <w:r>
        <w:rPr>
          <w:rFonts w:hint="eastAsia" w:ascii="宋体" w:hAnsi="宋体" w:eastAsia="宋体" w:cs="Times New Roman"/>
          <w:szCs w:val="21"/>
        </w:rPr>
        <w:t>﹞</w:t>
      </w:r>
      <w:r>
        <w:rPr>
          <w:rFonts w:ascii="宋体" w:hAnsi="宋体" w:eastAsia="宋体" w:cs="Times New Roman"/>
          <w:szCs w:val="21"/>
        </w:rPr>
        <w:t xml:space="preserve">46 </w:t>
      </w:r>
      <w:r>
        <w:rPr>
          <w:rFonts w:hint="eastAsia" w:ascii="宋体" w:hAnsi="宋体" w:eastAsia="宋体" w:cs="Times New Roman"/>
          <w:szCs w:val="21"/>
        </w:rPr>
        <w:t>号）的规定，本公司参加</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（单位名称）的</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（项目名称）采购活动，提供的货物全部由符合政策要求的中小企业制造。相关企业（含联合体中的中小企业、签订分包意向协议的中小企业）的具体情况如下：</w:t>
      </w:r>
    </w:p>
    <w:p w14:paraId="612D020B">
      <w:pPr>
        <w:spacing w:line="360" w:lineRule="auto"/>
        <w:ind w:firstLine="420" w:firstLineChars="200"/>
        <w:rPr>
          <w:rFonts w:ascii="宋体" w:hAnsi="Times New Roman" w:eastAsia="宋体" w:cs="Times New Roman"/>
          <w:szCs w:val="21"/>
        </w:rPr>
      </w:pPr>
      <w:r>
        <w:rPr>
          <w:rFonts w:ascii="宋体" w:hAnsi="宋体" w:eastAsia="宋体" w:cs="Times New Roman"/>
          <w:szCs w:val="21"/>
        </w:rPr>
        <w:t xml:space="preserve">1. </w:t>
      </w:r>
      <w:r>
        <w:rPr>
          <w:rFonts w:hint="eastAsia" w:ascii="宋体" w:hAnsi="宋体" w:eastAsia="宋体" w:cs="Times New Roman"/>
          <w:szCs w:val="21"/>
        </w:rPr>
        <w:t>（标的名称），属于（采购文件中明确的所属行业）行业；制造商为（企业名称），从业人员人，营业收入为万元，资产总额为万元属于（中型企业、小型企业、微型企业）；</w:t>
      </w:r>
    </w:p>
    <w:p w14:paraId="17099BE9">
      <w:pPr>
        <w:spacing w:line="360" w:lineRule="auto"/>
        <w:ind w:firstLine="420" w:firstLineChars="200"/>
        <w:rPr>
          <w:rFonts w:ascii="宋体" w:hAnsi="Times New Roman" w:eastAsia="宋体" w:cs="Times New Roman"/>
          <w:szCs w:val="21"/>
        </w:rPr>
      </w:pPr>
      <w:r>
        <w:rPr>
          <w:rFonts w:ascii="宋体" w:hAnsi="宋体" w:eastAsia="宋体" w:cs="Times New Roman"/>
          <w:szCs w:val="21"/>
        </w:rPr>
        <w:t xml:space="preserve">2. </w:t>
      </w:r>
      <w:r>
        <w:rPr>
          <w:rFonts w:hint="eastAsia" w:ascii="宋体" w:hAnsi="宋体" w:eastAsia="宋体" w:cs="Times New Roman"/>
          <w:szCs w:val="21"/>
        </w:rPr>
        <w:t>（标的名称），属于（采购文件中明确的所属行业）行业；制造商为（企业名称），从业人员人，营业收入为万元，资产总额为万元，属于（中型企业、小型企业、微型企业）；</w:t>
      </w:r>
    </w:p>
    <w:p w14:paraId="34BF67FE">
      <w:pPr>
        <w:spacing w:line="360" w:lineRule="auto"/>
        <w:rPr>
          <w:rFonts w:ascii="宋体" w:hAnsi="Times New Roman" w:eastAsia="宋体" w:cs="Times New Roman"/>
          <w:szCs w:val="21"/>
        </w:rPr>
      </w:pPr>
      <w:r>
        <w:rPr>
          <w:rFonts w:hint="eastAsia" w:ascii="宋体" w:hAnsi="宋体" w:eastAsia="宋体" w:cs="Times New Roman"/>
          <w:szCs w:val="21"/>
        </w:rPr>
        <w:t>……</w:t>
      </w:r>
    </w:p>
    <w:p w14:paraId="2789A68D">
      <w:pPr>
        <w:spacing w:line="360" w:lineRule="auto"/>
        <w:ind w:firstLine="735" w:firstLineChars="350"/>
        <w:rPr>
          <w:rFonts w:ascii="宋体" w:hAnsi="Times New Roman" w:eastAsia="宋体" w:cs="Times New Roman"/>
          <w:szCs w:val="21"/>
        </w:rPr>
      </w:pPr>
      <w:r>
        <w:rPr>
          <w:rFonts w:hint="eastAsia" w:ascii="宋体" w:hAnsi="宋体" w:eastAsia="宋体" w:cs="Times New Roman"/>
          <w:szCs w:val="21"/>
        </w:rPr>
        <w:t>以上企业，不属于大企业的分支机构，不存在控股股东为大企业的情形，也不存在与大企业的负责人为同一人的情形。</w:t>
      </w:r>
    </w:p>
    <w:p w14:paraId="5EFD0B85">
      <w:pPr>
        <w:spacing w:line="360" w:lineRule="auto"/>
        <w:ind w:firstLine="420" w:firstLineChars="200"/>
        <w:rPr>
          <w:rFonts w:ascii="宋体" w:hAnsi="Times New Roman" w:eastAsia="宋体" w:cs="Times New Roman"/>
          <w:szCs w:val="21"/>
        </w:rPr>
      </w:pPr>
      <w:r>
        <w:rPr>
          <w:rFonts w:hint="eastAsia" w:ascii="宋体" w:hAnsi="宋体" w:eastAsia="宋体" w:cs="Times New Roman"/>
          <w:szCs w:val="21"/>
        </w:rPr>
        <w:t>本企业对上述声明内容的真实性负责。如有虚假，将依法承担相应责任。</w:t>
      </w:r>
    </w:p>
    <w:p w14:paraId="065494B3">
      <w:pPr>
        <w:spacing w:line="360" w:lineRule="auto"/>
        <w:rPr>
          <w:rFonts w:ascii="宋体" w:hAnsi="Times New Roman" w:eastAsia="宋体" w:cs="Times New Roman"/>
          <w:szCs w:val="21"/>
        </w:rPr>
      </w:pPr>
    </w:p>
    <w:p w14:paraId="2883AFD3">
      <w:pPr>
        <w:spacing w:line="360" w:lineRule="auto"/>
        <w:rPr>
          <w:rFonts w:ascii="宋体" w:hAnsi="Times New Roman" w:eastAsia="宋体" w:cs="Times New Roman"/>
          <w:szCs w:val="21"/>
        </w:rPr>
      </w:pPr>
    </w:p>
    <w:p w14:paraId="236F04B4">
      <w:pPr>
        <w:spacing w:line="360" w:lineRule="auto"/>
        <w:ind w:firstLine="630" w:firstLineChars="300"/>
        <w:rPr>
          <w:rFonts w:ascii="宋体" w:hAnsi="Times New Roman" w:eastAsia="宋体" w:cs="Times New Roman"/>
          <w:szCs w:val="21"/>
        </w:rPr>
      </w:pPr>
      <w:r>
        <w:rPr>
          <w:rFonts w:hint="eastAsia" w:ascii="宋体" w:hAnsi="宋体" w:eastAsia="宋体" w:cs="Times New Roman"/>
          <w:szCs w:val="21"/>
        </w:rPr>
        <w:t>企业名称（盖章）：</w:t>
      </w:r>
    </w:p>
    <w:p w14:paraId="058E5FC5">
      <w:pPr>
        <w:spacing w:line="360" w:lineRule="auto"/>
        <w:ind w:firstLine="630" w:firstLineChars="300"/>
        <w:rPr>
          <w:rFonts w:hint="eastAsia" w:ascii="宋体" w:hAnsi="宋体" w:eastAsia="宋体"/>
        </w:rPr>
        <w:sectPr>
          <w:headerReference r:id="rId3" w:type="default"/>
          <w:footerReference r:id="rId4" w:type="default"/>
          <w:pgSz w:w="11906" w:h="16838"/>
          <w:pgMar w:top="1304" w:right="1531" w:bottom="1304" w:left="1531" w:header="567" w:footer="1304" w:gutter="0"/>
          <w:cols w:space="720" w:num="1"/>
          <w:docGrid w:linePitch="286" w:charSpace="0"/>
        </w:sectPr>
      </w:pPr>
      <w:r>
        <w:rPr>
          <w:rFonts w:hint="eastAsia" w:ascii="宋体" w:hAnsi="宋体" w:eastAsia="宋体" w:cs="Times New Roman"/>
          <w:szCs w:val="21"/>
        </w:rPr>
        <w:t>日期：</w:t>
      </w:r>
    </w:p>
    <w:p w14:paraId="199E86C8">
      <w:pPr>
        <w:snapToGrid w:val="0"/>
        <w:spacing w:line="360" w:lineRule="auto"/>
        <w:ind w:right="-341"/>
        <w:rPr>
          <w:rFonts w:ascii="Times New Roman" w:hAnsi="Times New Roman" w:eastAsia="宋体" w:cs="Times New Roman"/>
        </w:rPr>
      </w:pPr>
    </w:p>
    <w:p w14:paraId="0F2CB681">
      <w:pPr>
        <w:spacing w:after="120"/>
        <w:rPr>
          <w:rFonts w:ascii="Times New Roman" w:hAnsi="Times New Roman" w:eastAsia="宋体" w:cs="Times New Roman"/>
        </w:rPr>
      </w:pPr>
    </w:p>
    <w:p w14:paraId="1CB34918">
      <w:pPr>
        <w:spacing w:line="360" w:lineRule="auto"/>
        <w:ind w:firstLine="3132" w:firstLineChars="1300"/>
        <w:rPr>
          <w:rFonts w:ascii="Times New Roman" w:hAnsi="Times New Roman" w:eastAsia="宋体" w:cs="Times New Roman"/>
          <w:b/>
          <w:sz w:val="24"/>
          <w:szCs w:val="24"/>
        </w:rPr>
      </w:pPr>
      <w:r>
        <w:rPr>
          <w:rFonts w:hint="eastAsia" w:ascii="Times New Roman" w:hAnsi="Times New Roman" w:eastAsia="宋体" w:cs="Times New Roman"/>
          <w:b/>
          <w:sz w:val="24"/>
          <w:szCs w:val="24"/>
        </w:rPr>
        <w:t>监狱企业声明函</w:t>
      </w:r>
    </w:p>
    <w:p w14:paraId="39D6E867">
      <w:pPr>
        <w:spacing w:line="360" w:lineRule="auto"/>
        <w:ind w:firstLine="2640" w:firstLineChars="1100"/>
        <w:rPr>
          <w:rFonts w:ascii="Times New Roman" w:hAnsi="Times New Roman" w:eastAsia="宋体" w:cs="Times New Roman"/>
          <w:sz w:val="24"/>
          <w:szCs w:val="24"/>
        </w:rPr>
      </w:pPr>
      <w:r>
        <w:rPr>
          <w:rFonts w:hint="eastAsia" w:ascii="Times New Roman" w:hAnsi="Times New Roman" w:eastAsia="宋体" w:cs="Times New Roman"/>
          <w:sz w:val="24"/>
          <w:szCs w:val="24"/>
        </w:rPr>
        <w:t>【非监狱企业不用提供】</w:t>
      </w:r>
    </w:p>
    <w:p w14:paraId="15212524">
      <w:pPr>
        <w:spacing w:line="360" w:lineRule="auto"/>
        <w:ind w:firstLine="480"/>
        <w:rPr>
          <w:rFonts w:ascii="Times New Roman" w:hAnsi="Times New Roman" w:eastAsia="宋体" w:cs="Times New Roman"/>
          <w:szCs w:val="21"/>
        </w:rPr>
      </w:pPr>
    </w:p>
    <w:p w14:paraId="1DF0AE08">
      <w:pPr>
        <w:spacing w:line="360" w:lineRule="auto"/>
        <w:ind w:firstLine="525" w:firstLineChars="250"/>
        <w:rPr>
          <w:rFonts w:ascii="Times New Roman" w:hAnsi="Times New Roman" w:eastAsia="宋体" w:cs="Times New Roman"/>
          <w:szCs w:val="21"/>
        </w:rPr>
      </w:pPr>
      <w:r>
        <w:rPr>
          <w:rFonts w:hint="eastAsia" w:ascii="Times New Roman" w:hAnsi="Times New Roman" w:eastAsia="宋体" w:cs="Times New Roman"/>
          <w:szCs w:val="21"/>
        </w:rPr>
        <w:t>监狱企业参加政府采购活动时，应当提供由省级以上监狱管理本企业郑重声明，根据《关于政府采购支持监狱企业发展有关问题的通知》（财库</w:t>
      </w:r>
      <w:r>
        <w:rPr>
          <w:rFonts w:ascii="Times New Roman" w:hAnsi="Times New Roman" w:eastAsia="宋体" w:cs="Times New Roman"/>
          <w:szCs w:val="21"/>
        </w:rPr>
        <w:t>[2014]68</w:t>
      </w:r>
      <w:r>
        <w:rPr>
          <w:rFonts w:hint="eastAsia" w:ascii="Times New Roman" w:hAnsi="Times New Roman" w:eastAsia="宋体" w:cs="Times New Roman"/>
          <w:szCs w:val="21"/>
        </w:rPr>
        <w:t>号）的规定，本企业为监狱企业。</w:t>
      </w:r>
    </w:p>
    <w:p w14:paraId="7373FEC7">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根据上述标准，我企业属于监狱企业的理由为：。</w:t>
      </w:r>
    </w:p>
    <w:p w14:paraId="7E9BB2D2">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本企业为参加（项目名称：）（项目编号：）采购活动提供本企业的产品。</w:t>
      </w:r>
    </w:p>
    <w:p w14:paraId="13774EB5">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本企业对上述声明的真实性负责。如有虚假，将依法承担相应责任。</w:t>
      </w:r>
    </w:p>
    <w:p w14:paraId="617BB9FC">
      <w:pPr>
        <w:spacing w:line="360" w:lineRule="auto"/>
        <w:ind w:firstLine="480"/>
        <w:rPr>
          <w:rFonts w:ascii="Times New Roman" w:hAnsi="Times New Roman" w:eastAsia="宋体" w:cs="Times New Roman"/>
          <w:szCs w:val="21"/>
        </w:rPr>
      </w:pPr>
    </w:p>
    <w:p w14:paraId="565F617B">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投标人名称（盖章）：</w:t>
      </w:r>
    </w:p>
    <w:p w14:paraId="00EC32EC">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日期：年月日</w:t>
      </w:r>
    </w:p>
    <w:p w14:paraId="574D8948">
      <w:pPr>
        <w:spacing w:line="360" w:lineRule="auto"/>
        <w:ind w:firstLine="480"/>
        <w:rPr>
          <w:rFonts w:ascii="Times New Roman" w:hAnsi="Times New Roman" w:eastAsia="宋体" w:cs="Times New Roman"/>
          <w:szCs w:val="21"/>
        </w:rPr>
      </w:pPr>
    </w:p>
    <w:p w14:paraId="0EF03128">
      <w:pPr>
        <w:spacing w:line="360" w:lineRule="auto"/>
        <w:ind w:firstLine="480"/>
        <w:rPr>
          <w:rFonts w:ascii="Times New Roman" w:hAnsi="Times New Roman" w:eastAsia="宋体" w:cs="Times New Roman"/>
          <w:szCs w:val="21"/>
        </w:rPr>
      </w:pPr>
    </w:p>
    <w:p w14:paraId="0314B3B9">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投标人为监狱企业的提供此函。</w:t>
      </w:r>
    </w:p>
    <w:p w14:paraId="43E6B6D1">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局、戒毒管理局（含新疆生产建设兵团）出具的属于监狱企业的证明文件。</w:t>
      </w:r>
    </w:p>
    <w:p w14:paraId="2CCB4093">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F7037AC">
      <w:pPr>
        <w:spacing w:line="360" w:lineRule="auto"/>
        <w:ind w:firstLine="480"/>
        <w:rPr>
          <w:rFonts w:ascii="Times New Roman" w:hAnsi="Times New Roman" w:eastAsia="宋体" w:cs="Times New Roman"/>
          <w:szCs w:val="21"/>
        </w:rPr>
      </w:pPr>
    </w:p>
    <w:p w14:paraId="53102A8F">
      <w:pPr>
        <w:spacing w:line="360" w:lineRule="auto"/>
        <w:ind w:firstLine="480"/>
        <w:rPr>
          <w:rFonts w:ascii="Times New Roman" w:hAnsi="Times New Roman" w:eastAsia="宋体" w:cs="Times New Roman"/>
          <w:szCs w:val="21"/>
        </w:rPr>
      </w:pPr>
    </w:p>
    <w:p w14:paraId="16F820C4">
      <w:pPr>
        <w:spacing w:line="360" w:lineRule="auto"/>
        <w:ind w:firstLine="480"/>
        <w:rPr>
          <w:rFonts w:ascii="Times New Roman" w:hAnsi="Times New Roman" w:eastAsia="宋体" w:cs="Times New Roman"/>
          <w:szCs w:val="21"/>
        </w:rPr>
      </w:pPr>
    </w:p>
    <w:p w14:paraId="50E46C97">
      <w:pPr>
        <w:spacing w:line="360" w:lineRule="auto"/>
        <w:ind w:firstLine="480"/>
        <w:rPr>
          <w:rFonts w:ascii="Times New Roman" w:hAnsi="Times New Roman" w:eastAsia="宋体" w:cs="Times New Roman"/>
          <w:szCs w:val="21"/>
        </w:rPr>
      </w:pPr>
    </w:p>
    <w:p w14:paraId="45BFD7C2">
      <w:pPr>
        <w:spacing w:line="360" w:lineRule="auto"/>
        <w:ind w:firstLine="480"/>
        <w:rPr>
          <w:rFonts w:ascii="Times New Roman" w:hAnsi="Times New Roman" w:eastAsia="宋体" w:cs="Times New Roman"/>
          <w:szCs w:val="21"/>
        </w:rPr>
      </w:pPr>
    </w:p>
    <w:p w14:paraId="465134E4">
      <w:pPr>
        <w:spacing w:line="360" w:lineRule="auto"/>
        <w:ind w:firstLine="480"/>
        <w:rPr>
          <w:rFonts w:ascii="Times New Roman" w:hAnsi="Times New Roman" w:eastAsia="宋体" w:cs="Times New Roman"/>
          <w:szCs w:val="21"/>
        </w:rPr>
      </w:pPr>
    </w:p>
    <w:p w14:paraId="0A212288">
      <w:pPr>
        <w:spacing w:line="360" w:lineRule="auto"/>
        <w:ind w:firstLine="480"/>
        <w:rPr>
          <w:rFonts w:ascii="Times New Roman" w:hAnsi="Times New Roman" w:eastAsia="宋体" w:cs="Times New Roman"/>
          <w:szCs w:val="21"/>
        </w:rPr>
      </w:pPr>
    </w:p>
    <w:p w14:paraId="6BF10E29">
      <w:pPr>
        <w:spacing w:line="360" w:lineRule="auto"/>
        <w:ind w:firstLine="480"/>
        <w:rPr>
          <w:rFonts w:ascii="Times New Roman" w:hAnsi="Times New Roman" w:eastAsia="宋体" w:cs="Times New Roman"/>
          <w:szCs w:val="21"/>
        </w:rPr>
      </w:pPr>
    </w:p>
    <w:p w14:paraId="1B5D4635">
      <w:pPr>
        <w:spacing w:line="360" w:lineRule="auto"/>
        <w:ind w:firstLine="480"/>
        <w:rPr>
          <w:rFonts w:ascii="Times New Roman" w:hAnsi="Times New Roman" w:eastAsia="宋体" w:cs="Times New Roman"/>
          <w:szCs w:val="21"/>
        </w:rPr>
      </w:pPr>
    </w:p>
    <w:p w14:paraId="60955470">
      <w:pPr>
        <w:spacing w:line="360" w:lineRule="auto"/>
        <w:ind w:firstLine="480"/>
        <w:rPr>
          <w:rFonts w:ascii="Times New Roman" w:hAnsi="Times New Roman" w:eastAsia="宋体" w:cs="Times New Roman"/>
          <w:szCs w:val="21"/>
        </w:rPr>
      </w:pPr>
    </w:p>
    <w:p w14:paraId="7DCEE53B">
      <w:pPr>
        <w:spacing w:line="360" w:lineRule="auto"/>
        <w:ind w:firstLine="480"/>
        <w:rPr>
          <w:rFonts w:ascii="Times New Roman" w:hAnsi="Times New Roman" w:eastAsia="宋体" w:cs="Times New Roman"/>
          <w:szCs w:val="21"/>
        </w:rPr>
      </w:pPr>
    </w:p>
    <w:p w14:paraId="43C5CE46">
      <w:pPr>
        <w:spacing w:line="360" w:lineRule="auto"/>
        <w:ind w:firstLine="480"/>
        <w:rPr>
          <w:rFonts w:ascii="Times New Roman" w:hAnsi="Times New Roman" w:eastAsia="宋体" w:cs="Times New Roman"/>
          <w:szCs w:val="21"/>
        </w:rPr>
      </w:pPr>
    </w:p>
    <w:p w14:paraId="65338CAD">
      <w:pPr>
        <w:spacing w:line="360" w:lineRule="auto"/>
        <w:ind w:firstLine="480"/>
        <w:rPr>
          <w:rFonts w:ascii="Times New Roman" w:hAnsi="Times New Roman" w:eastAsia="宋体" w:cs="Times New Roman"/>
          <w:szCs w:val="21"/>
        </w:rPr>
      </w:pPr>
    </w:p>
    <w:p w14:paraId="4DE4E03F">
      <w:pPr>
        <w:spacing w:line="360" w:lineRule="auto"/>
        <w:rPr>
          <w:rFonts w:ascii="Times New Roman" w:hAnsi="Times New Roman" w:eastAsia="宋体" w:cs="Times New Roman"/>
          <w:b/>
          <w:sz w:val="24"/>
          <w:szCs w:val="24"/>
        </w:rPr>
      </w:pPr>
    </w:p>
    <w:p w14:paraId="4C1107E4">
      <w:pPr>
        <w:spacing w:line="360" w:lineRule="auto"/>
        <w:jc w:val="center"/>
        <w:rPr>
          <w:rFonts w:ascii="Times New Roman" w:hAnsi="Times New Roman" w:eastAsia="宋体" w:cs="Times New Roman"/>
          <w:b/>
          <w:sz w:val="24"/>
          <w:szCs w:val="24"/>
        </w:rPr>
      </w:pPr>
    </w:p>
    <w:p w14:paraId="63C2F412">
      <w:pPr>
        <w:spacing w:line="360" w:lineRule="auto"/>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残疾人福利性单位声明函</w:t>
      </w:r>
    </w:p>
    <w:p w14:paraId="63B0CBD1">
      <w:pPr>
        <w:spacing w:line="360" w:lineRule="auto"/>
        <w:ind w:firstLine="2835" w:firstLineChars="1350"/>
        <w:rPr>
          <w:rFonts w:ascii="Times New Roman" w:hAnsi="Times New Roman" w:eastAsia="宋体" w:cs="Times New Roman"/>
          <w:szCs w:val="21"/>
        </w:rPr>
      </w:pPr>
      <w:r>
        <w:rPr>
          <w:rFonts w:hint="eastAsia" w:ascii="Times New Roman" w:hAnsi="Times New Roman" w:eastAsia="宋体" w:cs="Times New Roman"/>
          <w:szCs w:val="21"/>
        </w:rPr>
        <w:t>【非残疾人福利性单位不用提供】</w:t>
      </w:r>
    </w:p>
    <w:p w14:paraId="3E635B53">
      <w:pPr>
        <w:spacing w:line="360" w:lineRule="auto"/>
        <w:rPr>
          <w:rFonts w:ascii="Times New Roman" w:hAnsi="Times New Roman" w:eastAsia="宋体" w:cs="Times New Roman"/>
          <w:szCs w:val="21"/>
        </w:rPr>
      </w:pPr>
    </w:p>
    <w:p w14:paraId="4D6F5940">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本单位郑重声明，根据《财政部民政部中国残疾人联合会关于促进残疾人就业政府采购政策的通知》（财库〔</w:t>
      </w:r>
      <w:r>
        <w:rPr>
          <w:rFonts w:ascii="Times New Roman" w:hAnsi="Times New Roman" w:eastAsia="宋体" w:cs="Times New Roman"/>
          <w:szCs w:val="21"/>
        </w:rPr>
        <w:t>2017</w:t>
      </w:r>
      <w:r>
        <w:rPr>
          <w:rFonts w:hint="eastAsia" w:ascii="Times New Roman" w:hAnsi="Times New Roman" w:eastAsia="宋体" w:cs="Times New Roman"/>
          <w:szCs w:val="21"/>
        </w:rPr>
        <w:t>〕</w:t>
      </w:r>
      <w:r>
        <w:rPr>
          <w:rFonts w:ascii="Times New Roman" w:hAnsi="Times New Roman" w:eastAsia="宋体" w:cs="Times New Roman"/>
          <w:szCs w:val="21"/>
        </w:rPr>
        <w:t>141</w:t>
      </w:r>
      <w:r>
        <w:rPr>
          <w:rFonts w:hint="eastAsia" w:ascii="Times New Roman" w:hAnsi="Times New Roman" w:eastAsia="宋体" w:cs="Times New Roman"/>
          <w:szCs w:val="21"/>
        </w:rPr>
        <w:t>号）的规定，本单位为符合条件的残疾人福利性单位，且本单位参加（采购人名称）单位的（项目名称）项目采购活动提供本单位制造的货物（由本单位承担工程</w:t>
      </w:r>
      <w:r>
        <w:rPr>
          <w:rFonts w:ascii="Times New Roman" w:hAnsi="Times New Roman" w:eastAsia="宋体" w:cs="Times New Roman"/>
          <w:szCs w:val="21"/>
        </w:rPr>
        <w:t>/</w:t>
      </w:r>
      <w:r>
        <w:rPr>
          <w:rFonts w:hint="eastAsia" w:ascii="Times New Roman" w:hAnsi="Times New Roman" w:eastAsia="宋体" w:cs="Times New Roman"/>
          <w:szCs w:val="21"/>
        </w:rPr>
        <w:t>提供服务），或者提供其他残疾人福利性单位制造的货物（不包括使用非残疾人福利性单位注册商标的货物）。</w:t>
      </w:r>
    </w:p>
    <w:p w14:paraId="59FAEAFE">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本单位对上述声明的真实性负责。如有虚假，将依法承担相应责任。</w:t>
      </w:r>
    </w:p>
    <w:p w14:paraId="218F7A09">
      <w:pPr>
        <w:spacing w:line="360" w:lineRule="auto"/>
        <w:rPr>
          <w:rFonts w:ascii="Times New Roman" w:hAnsi="Times New Roman" w:eastAsia="宋体" w:cs="Times New Roman"/>
          <w:szCs w:val="21"/>
        </w:rPr>
      </w:pPr>
    </w:p>
    <w:p w14:paraId="37EDCCC2">
      <w:pPr>
        <w:spacing w:line="360" w:lineRule="auto"/>
        <w:rPr>
          <w:rFonts w:ascii="Times New Roman" w:hAnsi="Times New Roman" w:eastAsia="宋体" w:cs="Times New Roman"/>
          <w:szCs w:val="21"/>
        </w:rPr>
      </w:pPr>
    </w:p>
    <w:p w14:paraId="3F39552E">
      <w:pPr>
        <w:spacing w:line="360" w:lineRule="auto"/>
        <w:rPr>
          <w:rFonts w:ascii="Times New Roman" w:hAnsi="Times New Roman" w:eastAsia="宋体" w:cs="Times New Roman"/>
          <w:szCs w:val="21"/>
        </w:rPr>
      </w:pPr>
      <w:r>
        <w:rPr>
          <w:rFonts w:hint="eastAsia" w:ascii="Times New Roman" w:hAnsi="Times New Roman" w:eastAsia="宋体" w:cs="Times New Roman"/>
          <w:szCs w:val="21"/>
        </w:rPr>
        <w:t>投标人名称（盖章）：</w:t>
      </w:r>
    </w:p>
    <w:p w14:paraId="2652D791">
      <w:pPr>
        <w:spacing w:line="360" w:lineRule="auto"/>
        <w:rPr>
          <w:rFonts w:ascii="Times New Roman" w:hAnsi="Times New Roman" w:eastAsia="宋体" w:cs="Times New Roman"/>
          <w:szCs w:val="21"/>
        </w:rPr>
      </w:pPr>
      <w:r>
        <w:rPr>
          <w:rFonts w:hint="eastAsia" w:ascii="Times New Roman" w:hAnsi="Times New Roman" w:eastAsia="宋体" w:cs="Times New Roman"/>
          <w:szCs w:val="21"/>
        </w:rPr>
        <w:t>日期：年月日</w:t>
      </w:r>
    </w:p>
    <w:p w14:paraId="420C0CE3">
      <w:pPr>
        <w:spacing w:line="360" w:lineRule="auto"/>
        <w:ind w:firstLine="480"/>
        <w:rPr>
          <w:rFonts w:ascii="Times New Roman" w:hAnsi="Times New Roman" w:eastAsia="宋体" w:cs="Times New Roman"/>
          <w:szCs w:val="21"/>
        </w:rPr>
      </w:pPr>
      <w:r>
        <w:rPr>
          <w:rFonts w:hint="eastAsia" w:ascii="Times New Roman" w:hAnsi="Times New Roman" w:eastAsia="宋体" w:cs="Times New Roman"/>
          <w:szCs w:val="21"/>
        </w:rPr>
        <w:t>说明：投标人为残疾人福利性单位的提供此函。</w:t>
      </w:r>
    </w:p>
    <w:p w14:paraId="77F852AE">
      <w:pPr>
        <w:snapToGrid w:val="0"/>
        <w:spacing w:line="360" w:lineRule="auto"/>
        <w:ind w:right="-341"/>
        <w:rPr>
          <w:rFonts w:ascii="Times New Roman" w:hAnsi="Times New Roman" w:eastAsia="宋体" w:cs="Times New Roman"/>
        </w:rPr>
      </w:pPr>
    </w:p>
    <w:p w14:paraId="4DE0AA59">
      <w:pPr>
        <w:snapToGrid w:val="0"/>
        <w:spacing w:line="360" w:lineRule="auto"/>
        <w:ind w:right="-341"/>
        <w:rPr>
          <w:rFonts w:ascii="Times New Roman" w:hAnsi="Times New Roman" w:eastAsia="宋体" w:cs="Times New Roman"/>
        </w:rPr>
      </w:pPr>
    </w:p>
    <w:p w14:paraId="1EDE6E50">
      <w:pPr>
        <w:snapToGrid w:val="0"/>
        <w:spacing w:line="360" w:lineRule="auto"/>
        <w:ind w:right="-341"/>
        <w:rPr>
          <w:rFonts w:ascii="Times New Roman" w:hAnsi="Times New Roman" w:eastAsia="宋体" w:cs="Times New Roman"/>
        </w:rPr>
      </w:pPr>
    </w:p>
    <w:p w14:paraId="5566A551">
      <w:pPr>
        <w:snapToGrid w:val="0"/>
        <w:spacing w:line="360" w:lineRule="auto"/>
        <w:ind w:right="-341"/>
        <w:rPr>
          <w:rFonts w:ascii="Times New Roman" w:hAnsi="Times New Roman" w:eastAsia="宋体" w:cs="Times New Roman"/>
        </w:rPr>
      </w:pPr>
    </w:p>
    <w:p w14:paraId="0EE05E11">
      <w:pPr>
        <w:snapToGrid w:val="0"/>
        <w:spacing w:line="312" w:lineRule="auto"/>
        <w:ind w:right="-341"/>
        <w:rPr>
          <w:rFonts w:ascii="Times New Roman" w:hAnsi="Times New Roman" w:eastAsia="宋体" w:cs="Times New Roman"/>
          <w:b/>
        </w:rPr>
      </w:pPr>
    </w:p>
    <w:p w14:paraId="30949327">
      <w:pPr>
        <w:snapToGrid w:val="0"/>
        <w:spacing w:line="312" w:lineRule="auto"/>
        <w:ind w:right="-341"/>
        <w:rPr>
          <w:rFonts w:ascii="Times New Roman" w:hAnsi="Times New Roman" w:eastAsia="宋体" w:cs="Times New Roman"/>
          <w:b/>
        </w:rPr>
      </w:pPr>
    </w:p>
    <w:p w14:paraId="1000DB81">
      <w:pPr>
        <w:snapToGrid w:val="0"/>
        <w:spacing w:line="312" w:lineRule="auto"/>
        <w:ind w:right="-341"/>
        <w:rPr>
          <w:rFonts w:ascii="Times New Roman" w:hAnsi="Times New Roman" w:eastAsia="宋体" w:cs="Times New Roman"/>
          <w:b/>
        </w:rPr>
      </w:pPr>
    </w:p>
    <w:p w14:paraId="54237B66">
      <w:pPr>
        <w:snapToGrid w:val="0"/>
        <w:spacing w:line="312" w:lineRule="auto"/>
        <w:ind w:right="-341"/>
        <w:rPr>
          <w:rFonts w:ascii="Times New Roman" w:hAnsi="Times New Roman" w:eastAsia="宋体" w:cs="Times New Roman"/>
          <w:b/>
        </w:rPr>
      </w:pPr>
    </w:p>
    <w:p w14:paraId="20925FCD">
      <w:pPr>
        <w:snapToGrid w:val="0"/>
        <w:spacing w:line="312" w:lineRule="auto"/>
        <w:ind w:right="-341"/>
        <w:rPr>
          <w:rFonts w:ascii="Times New Roman" w:hAnsi="Times New Roman" w:eastAsia="宋体" w:cs="Times New Roman"/>
          <w:b/>
        </w:rPr>
      </w:pPr>
    </w:p>
    <w:p w14:paraId="45FD9931">
      <w:pPr>
        <w:snapToGrid w:val="0"/>
        <w:spacing w:line="312" w:lineRule="auto"/>
        <w:ind w:right="-341"/>
        <w:rPr>
          <w:rFonts w:ascii="Times New Roman" w:hAnsi="Times New Roman" w:eastAsia="宋体" w:cs="Times New Roman"/>
          <w:b/>
        </w:rPr>
      </w:pPr>
    </w:p>
    <w:p w14:paraId="17E3CB22">
      <w:pPr>
        <w:snapToGrid w:val="0"/>
        <w:spacing w:line="312" w:lineRule="auto"/>
        <w:ind w:right="-341"/>
        <w:rPr>
          <w:rFonts w:ascii="Times New Roman" w:hAnsi="Times New Roman" w:eastAsia="宋体" w:cs="Times New Roman"/>
          <w:b/>
        </w:rPr>
      </w:pPr>
    </w:p>
    <w:p w14:paraId="2A20BBCD">
      <w:pPr>
        <w:snapToGrid w:val="0"/>
        <w:spacing w:before="120" w:line="312" w:lineRule="auto"/>
        <w:ind w:right="-341"/>
        <w:rPr>
          <w:rFonts w:ascii="Times New Roman" w:hAnsi="Times New Roman" w:eastAsia="宋体" w:cs="Times New Roman"/>
          <w:b/>
          <w:sz w:val="32"/>
        </w:rPr>
      </w:pPr>
    </w:p>
    <w:p w14:paraId="44E788F4">
      <w:pPr>
        <w:rPr>
          <w:rFonts w:ascii="Times New Roman" w:hAnsi="Times New Roman" w:eastAsia="宋体" w:cs="Times New Roman"/>
          <w:sz w:val="18"/>
          <w:szCs w:val="24"/>
        </w:rPr>
      </w:pPr>
    </w:p>
    <w:p w14:paraId="2A6774D8">
      <w:pPr>
        <w:spacing w:after="120"/>
        <w:rPr>
          <w:rFonts w:ascii="Times New Roman" w:hAnsi="Times New Roman" w:eastAsia="宋体" w:cs="Times New Roman"/>
        </w:rPr>
      </w:pPr>
    </w:p>
    <w:p w14:paraId="35E7B7F0">
      <w:pPr>
        <w:snapToGrid w:val="0"/>
        <w:spacing w:before="50" w:line="312" w:lineRule="auto"/>
        <w:jc w:val="left"/>
        <w:rPr>
          <w:rFonts w:ascii="Times New Roman" w:hAnsi="Times New Roman" w:eastAsia="宋体" w:cs="Times New Roman"/>
          <w:b/>
          <w:spacing w:val="20"/>
          <w:sz w:val="28"/>
        </w:rPr>
      </w:pPr>
    </w:p>
    <w:p w14:paraId="7057BB02">
      <w:pPr>
        <w:snapToGrid w:val="0"/>
        <w:spacing w:before="50" w:line="312" w:lineRule="auto"/>
        <w:jc w:val="center"/>
        <w:rPr>
          <w:rFonts w:ascii="Times New Roman" w:hAnsi="Times New Roman" w:eastAsia="宋体" w:cs="Times New Roman"/>
          <w:b/>
          <w:sz w:val="24"/>
        </w:rPr>
      </w:pPr>
    </w:p>
    <w:p w14:paraId="7B10B1FB">
      <w:pPr>
        <w:snapToGrid w:val="0"/>
        <w:spacing w:before="50" w:line="312" w:lineRule="auto"/>
        <w:jc w:val="center"/>
        <w:rPr>
          <w:rFonts w:ascii="Times New Roman" w:hAnsi="Times New Roman" w:eastAsia="宋体" w:cs="Times New Roman"/>
          <w:b/>
          <w:sz w:val="24"/>
        </w:rPr>
      </w:pPr>
    </w:p>
    <w:p w14:paraId="23C48D08">
      <w:pPr>
        <w:snapToGrid w:val="0"/>
        <w:spacing w:before="50" w:line="312" w:lineRule="auto"/>
        <w:jc w:val="center"/>
        <w:rPr>
          <w:rFonts w:ascii="Times New Roman" w:hAnsi="Times New Roman" w:eastAsia="宋体" w:cs="Times New Roman"/>
          <w:b/>
          <w:sz w:val="24"/>
        </w:rPr>
      </w:pPr>
    </w:p>
    <w:p w14:paraId="44ABDEEF">
      <w:pPr>
        <w:snapToGrid w:val="0"/>
        <w:spacing w:before="50" w:line="312" w:lineRule="auto"/>
        <w:jc w:val="center"/>
        <w:rPr>
          <w:rFonts w:ascii="Times New Roman" w:hAnsi="Times New Roman" w:eastAsia="宋体" w:cs="Times New Roman"/>
          <w:b/>
          <w:sz w:val="24"/>
        </w:rPr>
      </w:pPr>
    </w:p>
    <w:p w14:paraId="2F2EFADA">
      <w:pPr>
        <w:snapToGrid w:val="0"/>
        <w:spacing w:before="50" w:line="312" w:lineRule="auto"/>
        <w:rPr>
          <w:rFonts w:ascii="Times New Roman" w:hAnsi="Times New Roman" w:eastAsia="宋体" w:cs="Times New Roman"/>
          <w:b/>
          <w:sz w:val="24"/>
        </w:rPr>
      </w:pPr>
    </w:p>
    <w:p w14:paraId="0BC56A9D">
      <w:pPr>
        <w:snapToGrid w:val="0"/>
        <w:spacing w:before="50" w:line="312" w:lineRule="auto"/>
        <w:rPr>
          <w:rFonts w:ascii="Times New Roman" w:hAnsi="Times New Roman" w:eastAsia="宋体" w:cs="Times New Roman"/>
          <w:b/>
          <w:sz w:val="24"/>
        </w:rPr>
      </w:pPr>
    </w:p>
    <w:p w14:paraId="4C1F35F8">
      <w:pPr>
        <w:snapToGrid w:val="0"/>
        <w:spacing w:before="50" w:line="312" w:lineRule="auto"/>
        <w:jc w:val="center"/>
        <w:rPr>
          <w:rFonts w:ascii="Times New Roman" w:hAnsi="Times New Roman" w:eastAsia="宋体" w:cs="Times New Roman"/>
          <w:b/>
          <w:sz w:val="24"/>
        </w:rPr>
      </w:pPr>
      <w:r>
        <w:rPr>
          <w:rFonts w:hint="eastAsia" w:ascii="Times New Roman" w:hAnsi="Times New Roman" w:eastAsia="宋体" w:cs="Times New Roman"/>
          <w:b/>
          <w:sz w:val="24"/>
        </w:rPr>
        <w:t>八、商务响应表：</w:t>
      </w:r>
    </w:p>
    <w:p w14:paraId="451FADAF">
      <w:pPr>
        <w:snapToGrid w:val="0"/>
        <w:spacing w:before="50" w:line="312" w:lineRule="auto"/>
        <w:jc w:val="center"/>
        <w:rPr>
          <w:rFonts w:ascii="Times New Roman" w:hAnsi="Times New Roman" w:eastAsia="宋体" w:cs="Times New Roman"/>
          <w:b/>
          <w:sz w:val="24"/>
        </w:rPr>
      </w:pPr>
    </w:p>
    <w:p w14:paraId="54E5DBA0">
      <w:pPr>
        <w:snapToGrid w:val="0"/>
        <w:spacing w:line="312" w:lineRule="auto"/>
        <w:rPr>
          <w:rFonts w:ascii="Times New Roman" w:hAnsi="Times New Roman" w:eastAsia="宋体" w:cs="Times New Roman"/>
        </w:rPr>
      </w:pPr>
      <w:r>
        <w:rPr>
          <w:rFonts w:hint="eastAsia" w:ascii="Times New Roman" w:hAnsi="Times New Roman" w:eastAsia="宋体" w:cs="Times New Roman"/>
        </w:rPr>
        <w:t>项目名称：</w:t>
      </w:r>
    </w:p>
    <w:p w14:paraId="10A4EB1B">
      <w:pPr>
        <w:snapToGrid w:val="0"/>
        <w:spacing w:line="312" w:lineRule="auto"/>
        <w:rPr>
          <w:rFonts w:ascii="Times New Roman" w:hAnsi="Times New Roman" w:eastAsia="宋体" w:cs="Times New Roman"/>
        </w:rPr>
      </w:pPr>
      <w:r>
        <w:rPr>
          <w:rFonts w:hint="eastAsia" w:ascii="Times New Roman" w:hAnsi="Times New Roman" w:eastAsia="宋体" w:cs="Times New Roman"/>
        </w:rPr>
        <w:t>项目编号：</w:t>
      </w:r>
    </w:p>
    <w:tbl>
      <w:tblPr>
        <w:tblStyle w:val="61"/>
        <w:tblW w:w="90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8"/>
        <w:gridCol w:w="3240"/>
        <w:gridCol w:w="1260"/>
        <w:gridCol w:w="3020"/>
      </w:tblGrid>
      <w:tr w14:paraId="3C9AC3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8" w:type="dxa"/>
            <w:tcBorders>
              <w:top w:val="single" w:color="auto" w:sz="4" w:space="0"/>
              <w:left w:val="single" w:color="auto" w:sz="4" w:space="0"/>
              <w:bottom w:val="single" w:color="auto" w:sz="4" w:space="0"/>
              <w:right w:val="single" w:color="auto" w:sz="4" w:space="0"/>
            </w:tcBorders>
            <w:vAlign w:val="center"/>
          </w:tcPr>
          <w:p w14:paraId="2493D04D">
            <w:pPr>
              <w:snapToGrid w:val="0"/>
              <w:spacing w:before="120" w:beforeLines="50" w:line="312" w:lineRule="auto"/>
              <w:jc w:val="center"/>
              <w:rPr>
                <w:rFonts w:ascii="Times New Roman" w:hAnsi="Times New Roman" w:eastAsia="宋体" w:cs="Times New Roman"/>
                <w:b/>
              </w:rPr>
            </w:pPr>
            <w:r>
              <w:rPr>
                <w:rFonts w:hint="eastAsia" w:ascii="Times New Roman" w:hAnsi="Times New Roman" w:eastAsia="宋体" w:cs="Times New Roman"/>
                <w:b/>
              </w:rPr>
              <w:t>项目</w:t>
            </w:r>
          </w:p>
        </w:tc>
        <w:tc>
          <w:tcPr>
            <w:tcW w:w="3240" w:type="dxa"/>
            <w:tcBorders>
              <w:top w:val="single" w:color="auto" w:sz="4" w:space="0"/>
              <w:left w:val="single" w:color="auto" w:sz="4" w:space="0"/>
              <w:bottom w:val="single" w:color="auto" w:sz="4" w:space="0"/>
              <w:right w:val="single" w:color="auto" w:sz="4" w:space="0"/>
            </w:tcBorders>
            <w:vAlign w:val="center"/>
          </w:tcPr>
          <w:p w14:paraId="3C6A434A">
            <w:pPr>
              <w:snapToGrid w:val="0"/>
              <w:spacing w:before="120" w:beforeLines="50" w:line="312" w:lineRule="auto"/>
              <w:jc w:val="center"/>
              <w:rPr>
                <w:rFonts w:ascii="Times New Roman" w:hAnsi="Times New Roman" w:eastAsia="宋体" w:cs="Times New Roman"/>
                <w:b/>
              </w:rPr>
            </w:pPr>
            <w:r>
              <w:rPr>
                <w:rFonts w:hint="eastAsia" w:ascii="Times New Roman" w:hAnsi="Times New Roman" w:eastAsia="宋体" w:cs="Times New Roman"/>
                <w:b/>
              </w:rPr>
              <w:t>招标文件要求</w:t>
            </w:r>
          </w:p>
        </w:tc>
        <w:tc>
          <w:tcPr>
            <w:tcW w:w="1260" w:type="dxa"/>
            <w:tcBorders>
              <w:top w:val="single" w:color="auto" w:sz="4" w:space="0"/>
              <w:left w:val="single" w:color="auto" w:sz="4" w:space="0"/>
              <w:bottom w:val="single" w:color="auto" w:sz="4" w:space="0"/>
              <w:right w:val="single" w:color="auto" w:sz="4" w:space="0"/>
            </w:tcBorders>
            <w:vAlign w:val="center"/>
          </w:tcPr>
          <w:p w14:paraId="58469EB3">
            <w:pPr>
              <w:snapToGrid w:val="0"/>
              <w:spacing w:before="120" w:beforeLines="50" w:line="312" w:lineRule="auto"/>
              <w:jc w:val="center"/>
              <w:rPr>
                <w:rFonts w:ascii="Times New Roman" w:hAnsi="Times New Roman" w:eastAsia="宋体" w:cs="Times New Roman"/>
                <w:b/>
              </w:rPr>
            </w:pPr>
            <w:r>
              <w:rPr>
                <w:rFonts w:hint="eastAsia" w:ascii="Times New Roman" w:hAnsi="Times New Roman" w:eastAsia="宋体" w:cs="Times New Roman"/>
                <w:b/>
              </w:rPr>
              <w:t>是否响应</w:t>
            </w:r>
          </w:p>
        </w:tc>
        <w:tc>
          <w:tcPr>
            <w:tcW w:w="3020" w:type="dxa"/>
            <w:tcBorders>
              <w:top w:val="single" w:color="auto" w:sz="4" w:space="0"/>
              <w:left w:val="single" w:color="auto" w:sz="4" w:space="0"/>
              <w:bottom w:val="single" w:color="auto" w:sz="4" w:space="0"/>
              <w:right w:val="single" w:color="auto" w:sz="4" w:space="0"/>
            </w:tcBorders>
            <w:vAlign w:val="center"/>
          </w:tcPr>
          <w:p w14:paraId="4B8174C5">
            <w:pPr>
              <w:snapToGrid w:val="0"/>
              <w:spacing w:before="120" w:beforeLines="50" w:line="312" w:lineRule="auto"/>
              <w:jc w:val="center"/>
              <w:rPr>
                <w:rFonts w:ascii="Times New Roman" w:hAnsi="Times New Roman" w:eastAsia="宋体" w:cs="Times New Roman"/>
                <w:b/>
              </w:rPr>
            </w:pPr>
            <w:r>
              <w:rPr>
                <w:rFonts w:hint="eastAsia" w:ascii="Times New Roman" w:hAnsi="Times New Roman" w:eastAsia="宋体" w:cs="Times New Roman"/>
                <w:b/>
              </w:rPr>
              <w:t>投标人的承诺或说明</w:t>
            </w:r>
          </w:p>
        </w:tc>
      </w:tr>
      <w:tr w14:paraId="2332C0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548" w:type="dxa"/>
            <w:tcBorders>
              <w:top w:val="single" w:color="auto" w:sz="4" w:space="0"/>
              <w:left w:val="single" w:color="auto" w:sz="4" w:space="0"/>
              <w:bottom w:val="single" w:color="auto" w:sz="4" w:space="0"/>
              <w:right w:val="single" w:color="auto" w:sz="4" w:space="0"/>
            </w:tcBorders>
          </w:tcPr>
          <w:p w14:paraId="478CFBC0">
            <w:pPr>
              <w:snapToGrid w:val="0"/>
              <w:spacing w:before="120" w:beforeLines="50" w:line="312" w:lineRule="auto"/>
              <w:rPr>
                <w:rFonts w:ascii="Times New Roman" w:hAnsi="Times New Roman" w:eastAsia="宋体" w:cs="Times New Roman"/>
                <w:sz w:val="24"/>
              </w:rPr>
            </w:pPr>
          </w:p>
        </w:tc>
        <w:tc>
          <w:tcPr>
            <w:tcW w:w="3240" w:type="dxa"/>
            <w:tcBorders>
              <w:top w:val="single" w:color="auto" w:sz="4" w:space="0"/>
              <w:left w:val="single" w:color="auto" w:sz="4" w:space="0"/>
              <w:bottom w:val="single" w:color="auto" w:sz="4" w:space="0"/>
              <w:right w:val="single" w:color="auto" w:sz="4" w:space="0"/>
            </w:tcBorders>
          </w:tcPr>
          <w:p w14:paraId="1BD6ED5D">
            <w:pPr>
              <w:snapToGrid w:val="0"/>
              <w:spacing w:before="120" w:beforeLines="50" w:after="360" w:line="312" w:lineRule="auto"/>
              <w:rPr>
                <w:rFonts w:ascii="Times New Roman" w:hAnsi="Times New Roman" w:eastAsia="宋体" w:cs="Times New Roman"/>
                <w:b/>
                <w:bCs/>
                <w:kern w:val="44"/>
                <w:sz w:val="24"/>
                <w:szCs w:val="20"/>
              </w:rPr>
            </w:pPr>
          </w:p>
        </w:tc>
        <w:tc>
          <w:tcPr>
            <w:tcW w:w="1260" w:type="dxa"/>
            <w:tcBorders>
              <w:top w:val="single" w:color="auto" w:sz="4" w:space="0"/>
              <w:left w:val="single" w:color="auto" w:sz="4" w:space="0"/>
              <w:bottom w:val="single" w:color="auto" w:sz="4" w:space="0"/>
              <w:right w:val="single" w:color="auto" w:sz="4" w:space="0"/>
            </w:tcBorders>
          </w:tcPr>
          <w:p w14:paraId="7F6B5607">
            <w:pPr>
              <w:snapToGrid w:val="0"/>
              <w:spacing w:before="120" w:beforeLines="50" w:after="360" w:line="312" w:lineRule="auto"/>
              <w:rPr>
                <w:rFonts w:ascii="Times New Roman" w:hAnsi="Times New Roman" w:eastAsia="宋体" w:cs="Times New Roman"/>
                <w:b/>
                <w:bCs/>
                <w:kern w:val="44"/>
                <w:sz w:val="24"/>
                <w:szCs w:val="20"/>
              </w:rPr>
            </w:pPr>
          </w:p>
        </w:tc>
        <w:tc>
          <w:tcPr>
            <w:tcW w:w="3020" w:type="dxa"/>
            <w:tcBorders>
              <w:top w:val="single" w:color="auto" w:sz="4" w:space="0"/>
              <w:left w:val="single" w:color="auto" w:sz="4" w:space="0"/>
              <w:bottom w:val="single" w:color="auto" w:sz="4" w:space="0"/>
              <w:right w:val="single" w:color="auto" w:sz="4" w:space="0"/>
            </w:tcBorders>
          </w:tcPr>
          <w:p w14:paraId="3E08DAA2">
            <w:pPr>
              <w:snapToGrid w:val="0"/>
              <w:spacing w:before="120" w:beforeLines="50" w:after="360" w:line="312" w:lineRule="auto"/>
              <w:rPr>
                <w:rFonts w:ascii="Times New Roman" w:hAnsi="Times New Roman" w:eastAsia="宋体" w:cs="Times New Roman"/>
                <w:b/>
                <w:bCs/>
                <w:kern w:val="44"/>
                <w:sz w:val="24"/>
                <w:szCs w:val="20"/>
              </w:rPr>
            </w:pPr>
          </w:p>
        </w:tc>
      </w:tr>
      <w:tr w14:paraId="14EF8D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548" w:type="dxa"/>
            <w:tcBorders>
              <w:top w:val="single" w:color="auto" w:sz="4" w:space="0"/>
              <w:left w:val="single" w:color="auto" w:sz="4" w:space="0"/>
              <w:bottom w:val="single" w:color="auto" w:sz="4" w:space="0"/>
              <w:right w:val="single" w:color="auto" w:sz="4" w:space="0"/>
            </w:tcBorders>
            <w:vAlign w:val="center"/>
          </w:tcPr>
          <w:p w14:paraId="3408DF8C">
            <w:pPr>
              <w:widowControl/>
              <w:tabs>
                <w:tab w:val="left" w:pos="420"/>
                <w:tab w:val="left" w:pos="1418"/>
              </w:tabs>
              <w:overflowPunct w:val="0"/>
              <w:autoSpaceDE w:val="0"/>
              <w:autoSpaceDN w:val="0"/>
              <w:adjustRightInd w:val="0"/>
              <w:snapToGrid w:val="0"/>
              <w:spacing w:line="312" w:lineRule="auto"/>
              <w:jc w:val="center"/>
              <w:textAlignment w:val="baseline"/>
              <w:rPr>
                <w:rFonts w:ascii="Times New Roman" w:hAnsi="Times New Roman" w:eastAsia="宋体" w:cs="Times New Roman"/>
                <w:kern w:val="0"/>
                <w:sz w:val="24"/>
              </w:rPr>
            </w:pPr>
          </w:p>
        </w:tc>
        <w:tc>
          <w:tcPr>
            <w:tcW w:w="3240" w:type="dxa"/>
            <w:tcBorders>
              <w:top w:val="single" w:color="auto" w:sz="4" w:space="0"/>
              <w:left w:val="single" w:color="auto" w:sz="4" w:space="0"/>
              <w:bottom w:val="single" w:color="auto" w:sz="4" w:space="0"/>
              <w:right w:val="single" w:color="auto" w:sz="4" w:space="0"/>
            </w:tcBorders>
          </w:tcPr>
          <w:p w14:paraId="7CD52C4F">
            <w:pPr>
              <w:snapToGrid w:val="0"/>
              <w:spacing w:before="120" w:beforeLines="50" w:line="312" w:lineRule="auto"/>
              <w:rPr>
                <w:rFonts w:ascii="Times New Roman" w:hAnsi="Times New Roman" w:eastAsia="宋体" w:cs="Times New Roman"/>
                <w:sz w:val="24"/>
              </w:rPr>
            </w:pPr>
          </w:p>
        </w:tc>
        <w:tc>
          <w:tcPr>
            <w:tcW w:w="1260" w:type="dxa"/>
            <w:tcBorders>
              <w:top w:val="single" w:color="auto" w:sz="4" w:space="0"/>
              <w:left w:val="single" w:color="auto" w:sz="4" w:space="0"/>
              <w:bottom w:val="single" w:color="auto" w:sz="4" w:space="0"/>
              <w:right w:val="single" w:color="auto" w:sz="4" w:space="0"/>
            </w:tcBorders>
          </w:tcPr>
          <w:p w14:paraId="1A2862A5">
            <w:pPr>
              <w:snapToGrid w:val="0"/>
              <w:spacing w:before="120" w:beforeLines="50" w:after="360" w:line="312" w:lineRule="auto"/>
              <w:rPr>
                <w:rFonts w:ascii="Times New Roman" w:hAnsi="Times New Roman" w:eastAsia="宋体" w:cs="Times New Roman"/>
                <w:b/>
                <w:bCs/>
                <w:kern w:val="44"/>
                <w:sz w:val="24"/>
                <w:szCs w:val="20"/>
              </w:rPr>
            </w:pPr>
          </w:p>
        </w:tc>
        <w:tc>
          <w:tcPr>
            <w:tcW w:w="3020" w:type="dxa"/>
            <w:tcBorders>
              <w:top w:val="single" w:color="auto" w:sz="4" w:space="0"/>
              <w:left w:val="single" w:color="auto" w:sz="4" w:space="0"/>
              <w:bottom w:val="single" w:color="auto" w:sz="4" w:space="0"/>
              <w:right w:val="single" w:color="auto" w:sz="4" w:space="0"/>
            </w:tcBorders>
          </w:tcPr>
          <w:p w14:paraId="33DFAFE7">
            <w:pPr>
              <w:snapToGrid w:val="0"/>
              <w:spacing w:before="120" w:beforeLines="50" w:after="360" w:line="312" w:lineRule="auto"/>
              <w:rPr>
                <w:rFonts w:ascii="Times New Roman" w:hAnsi="Times New Roman" w:eastAsia="宋体" w:cs="Times New Roman"/>
                <w:b/>
                <w:bCs/>
                <w:kern w:val="44"/>
                <w:sz w:val="24"/>
                <w:szCs w:val="20"/>
              </w:rPr>
            </w:pPr>
          </w:p>
        </w:tc>
      </w:tr>
      <w:tr w14:paraId="27EF5F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1548" w:type="dxa"/>
            <w:tcBorders>
              <w:top w:val="single" w:color="auto" w:sz="4" w:space="0"/>
              <w:left w:val="single" w:color="auto" w:sz="4" w:space="0"/>
              <w:bottom w:val="single" w:color="auto" w:sz="4" w:space="0"/>
              <w:right w:val="single" w:color="auto" w:sz="4" w:space="0"/>
            </w:tcBorders>
            <w:vAlign w:val="center"/>
          </w:tcPr>
          <w:p w14:paraId="2AF552A4">
            <w:pPr>
              <w:snapToGrid w:val="0"/>
              <w:spacing w:line="312" w:lineRule="auto"/>
              <w:jc w:val="center"/>
              <w:rPr>
                <w:rFonts w:ascii="Times New Roman" w:hAnsi="Times New Roman" w:eastAsia="宋体" w:cs="Times New Roman"/>
                <w:sz w:val="24"/>
              </w:rPr>
            </w:pPr>
          </w:p>
        </w:tc>
        <w:tc>
          <w:tcPr>
            <w:tcW w:w="3240" w:type="dxa"/>
            <w:tcBorders>
              <w:top w:val="single" w:color="auto" w:sz="4" w:space="0"/>
              <w:left w:val="single" w:color="auto" w:sz="4" w:space="0"/>
              <w:bottom w:val="single" w:color="auto" w:sz="4" w:space="0"/>
              <w:right w:val="single" w:color="auto" w:sz="4" w:space="0"/>
            </w:tcBorders>
          </w:tcPr>
          <w:p w14:paraId="1BBC945D">
            <w:pPr>
              <w:snapToGrid w:val="0"/>
              <w:spacing w:before="120" w:beforeLines="50" w:line="312" w:lineRule="auto"/>
              <w:rPr>
                <w:rFonts w:ascii="Times New Roman" w:hAnsi="Times New Roman" w:eastAsia="宋体" w:cs="Times New Roman"/>
                <w:sz w:val="24"/>
              </w:rPr>
            </w:pPr>
          </w:p>
        </w:tc>
        <w:tc>
          <w:tcPr>
            <w:tcW w:w="1260" w:type="dxa"/>
            <w:tcBorders>
              <w:top w:val="single" w:color="auto" w:sz="4" w:space="0"/>
              <w:left w:val="single" w:color="auto" w:sz="4" w:space="0"/>
              <w:bottom w:val="single" w:color="auto" w:sz="4" w:space="0"/>
              <w:right w:val="single" w:color="auto" w:sz="4" w:space="0"/>
            </w:tcBorders>
          </w:tcPr>
          <w:p w14:paraId="5E0B2B55">
            <w:pPr>
              <w:snapToGrid w:val="0"/>
              <w:spacing w:before="120" w:beforeLines="50" w:after="360" w:line="312" w:lineRule="auto"/>
              <w:ind w:left="43"/>
              <w:rPr>
                <w:rFonts w:ascii="Times New Roman" w:hAnsi="Times New Roman" w:eastAsia="宋体" w:cs="Times New Roman"/>
                <w:b/>
                <w:bCs/>
                <w:kern w:val="44"/>
                <w:sz w:val="24"/>
                <w:szCs w:val="20"/>
              </w:rPr>
            </w:pPr>
          </w:p>
        </w:tc>
        <w:tc>
          <w:tcPr>
            <w:tcW w:w="3020" w:type="dxa"/>
            <w:tcBorders>
              <w:top w:val="single" w:color="auto" w:sz="4" w:space="0"/>
              <w:left w:val="single" w:color="auto" w:sz="4" w:space="0"/>
              <w:bottom w:val="single" w:color="auto" w:sz="4" w:space="0"/>
              <w:right w:val="single" w:color="auto" w:sz="4" w:space="0"/>
            </w:tcBorders>
          </w:tcPr>
          <w:p w14:paraId="2889F693">
            <w:pPr>
              <w:snapToGrid w:val="0"/>
              <w:spacing w:before="120" w:beforeLines="50" w:after="360" w:line="312" w:lineRule="auto"/>
              <w:ind w:left="43"/>
              <w:rPr>
                <w:rFonts w:ascii="Times New Roman" w:hAnsi="Times New Roman" w:eastAsia="宋体" w:cs="Times New Roman"/>
                <w:b/>
                <w:bCs/>
                <w:kern w:val="44"/>
                <w:sz w:val="24"/>
                <w:szCs w:val="20"/>
              </w:rPr>
            </w:pPr>
          </w:p>
        </w:tc>
      </w:tr>
      <w:tr w14:paraId="210140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8" w:type="dxa"/>
            <w:tcBorders>
              <w:top w:val="single" w:color="auto" w:sz="4" w:space="0"/>
              <w:left w:val="single" w:color="auto" w:sz="4" w:space="0"/>
              <w:bottom w:val="single" w:color="auto" w:sz="4" w:space="0"/>
              <w:right w:val="single" w:color="auto" w:sz="4" w:space="0"/>
            </w:tcBorders>
            <w:vAlign w:val="center"/>
          </w:tcPr>
          <w:p w14:paraId="00B5EF2B">
            <w:pPr>
              <w:snapToGrid w:val="0"/>
              <w:spacing w:line="312" w:lineRule="auto"/>
              <w:jc w:val="center"/>
              <w:rPr>
                <w:rFonts w:ascii="Times New Roman" w:hAnsi="Times New Roman" w:eastAsia="宋体" w:cs="Times New Roman"/>
                <w:sz w:val="24"/>
              </w:rPr>
            </w:pPr>
          </w:p>
        </w:tc>
        <w:tc>
          <w:tcPr>
            <w:tcW w:w="3240" w:type="dxa"/>
            <w:tcBorders>
              <w:top w:val="single" w:color="auto" w:sz="4" w:space="0"/>
              <w:left w:val="single" w:color="auto" w:sz="4" w:space="0"/>
              <w:bottom w:val="single" w:color="auto" w:sz="4" w:space="0"/>
              <w:right w:val="single" w:color="auto" w:sz="4" w:space="0"/>
            </w:tcBorders>
          </w:tcPr>
          <w:p w14:paraId="0A38F13D">
            <w:pPr>
              <w:snapToGrid w:val="0"/>
              <w:spacing w:before="120" w:beforeLines="50" w:line="312" w:lineRule="auto"/>
              <w:rPr>
                <w:rFonts w:ascii="Times New Roman" w:hAnsi="Times New Roman" w:eastAsia="宋体" w:cs="Times New Roman"/>
                <w:sz w:val="24"/>
              </w:rPr>
            </w:pPr>
          </w:p>
        </w:tc>
        <w:tc>
          <w:tcPr>
            <w:tcW w:w="1260" w:type="dxa"/>
            <w:tcBorders>
              <w:top w:val="single" w:color="auto" w:sz="4" w:space="0"/>
              <w:left w:val="single" w:color="auto" w:sz="4" w:space="0"/>
              <w:bottom w:val="single" w:color="auto" w:sz="4" w:space="0"/>
              <w:right w:val="single" w:color="auto" w:sz="4" w:space="0"/>
            </w:tcBorders>
          </w:tcPr>
          <w:p w14:paraId="4F962356">
            <w:pPr>
              <w:snapToGrid w:val="0"/>
              <w:spacing w:before="120" w:beforeLines="50" w:after="360" w:line="312" w:lineRule="auto"/>
              <w:rPr>
                <w:rFonts w:ascii="Times New Roman" w:hAnsi="Times New Roman" w:eastAsia="宋体" w:cs="Times New Roman"/>
                <w:b/>
                <w:bCs/>
                <w:kern w:val="44"/>
                <w:sz w:val="24"/>
                <w:szCs w:val="20"/>
              </w:rPr>
            </w:pPr>
          </w:p>
        </w:tc>
        <w:tc>
          <w:tcPr>
            <w:tcW w:w="3020" w:type="dxa"/>
            <w:tcBorders>
              <w:top w:val="single" w:color="auto" w:sz="4" w:space="0"/>
              <w:left w:val="single" w:color="auto" w:sz="4" w:space="0"/>
              <w:bottom w:val="single" w:color="auto" w:sz="4" w:space="0"/>
              <w:right w:val="single" w:color="auto" w:sz="4" w:space="0"/>
            </w:tcBorders>
          </w:tcPr>
          <w:p w14:paraId="0F8B144E">
            <w:pPr>
              <w:snapToGrid w:val="0"/>
              <w:spacing w:before="120" w:beforeLines="50" w:after="360" w:line="312" w:lineRule="auto"/>
              <w:rPr>
                <w:rFonts w:ascii="Times New Roman" w:hAnsi="Times New Roman" w:eastAsia="宋体" w:cs="Times New Roman"/>
                <w:b/>
                <w:bCs/>
                <w:kern w:val="44"/>
                <w:sz w:val="24"/>
                <w:szCs w:val="20"/>
              </w:rPr>
            </w:pPr>
          </w:p>
        </w:tc>
      </w:tr>
      <w:tr w14:paraId="5C5257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tcPr>
          <w:p w14:paraId="691E0C6C">
            <w:pPr>
              <w:snapToGrid w:val="0"/>
              <w:spacing w:before="120" w:beforeLines="50" w:line="312" w:lineRule="auto"/>
              <w:rPr>
                <w:rFonts w:ascii="Times New Roman" w:hAnsi="Times New Roman" w:eastAsia="宋体" w:cs="Times New Roman"/>
                <w:sz w:val="24"/>
              </w:rPr>
            </w:pPr>
          </w:p>
        </w:tc>
        <w:tc>
          <w:tcPr>
            <w:tcW w:w="3240" w:type="dxa"/>
            <w:tcBorders>
              <w:top w:val="single" w:color="auto" w:sz="4" w:space="0"/>
              <w:left w:val="single" w:color="auto" w:sz="4" w:space="0"/>
              <w:bottom w:val="single" w:color="auto" w:sz="4" w:space="0"/>
              <w:right w:val="single" w:color="auto" w:sz="4" w:space="0"/>
            </w:tcBorders>
          </w:tcPr>
          <w:p w14:paraId="736D0F44">
            <w:pPr>
              <w:snapToGrid w:val="0"/>
              <w:spacing w:before="120" w:beforeLines="50" w:after="360" w:line="312" w:lineRule="auto"/>
              <w:rPr>
                <w:rFonts w:ascii="Times New Roman" w:hAnsi="Times New Roman" w:eastAsia="宋体" w:cs="Times New Roman"/>
                <w:b/>
                <w:bCs/>
                <w:kern w:val="44"/>
                <w:sz w:val="24"/>
                <w:szCs w:val="20"/>
              </w:rPr>
            </w:pPr>
          </w:p>
        </w:tc>
        <w:tc>
          <w:tcPr>
            <w:tcW w:w="1260" w:type="dxa"/>
            <w:tcBorders>
              <w:top w:val="single" w:color="auto" w:sz="4" w:space="0"/>
              <w:left w:val="single" w:color="auto" w:sz="4" w:space="0"/>
              <w:bottom w:val="single" w:color="auto" w:sz="4" w:space="0"/>
              <w:right w:val="single" w:color="auto" w:sz="4" w:space="0"/>
            </w:tcBorders>
          </w:tcPr>
          <w:p w14:paraId="5A2A77E0">
            <w:pPr>
              <w:snapToGrid w:val="0"/>
              <w:spacing w:before="120" w:beforeLines="50" w:after="360" w:line="312" w:lineRule="auto"/>
              <w:rPr>
                <w:rFonts w:ascii="Times New Roman" w:hAnsi="Times New Roman" w:eastAsia="宋体" w:cs="Times New Roman"/>
                <w:b/>
                <w:bCs/>
                <w:kern w:val="44"/>
                <w:sz w:val="24"/>
                <w:szCs w:val="20"/>
              </w:rPr>
            </w:pPr>
          </w:p>
        </w:tc>
        <w:tc>
          <w:tcPr>
            <w:tcW w:w="3020" w:type="dxa"/>
            <w:tcBorders>
              <w:top w:val="single" w:color="auto" w:sz="4" w:space="0"/>
              <w:left w:val="single" w:color="auto" w:sz="4" w:space="0"/>
              <w:bottom w:val="single" w:color="auto" w:sz="4" w:space="0"/>
              <w:right w:val="single" w:color="auto" w:sz="4" w:space="0"/>
            </w:tcBorders>
          </w:tcPr>
          <w:p w14:paraId="7EE9B2FE">
            <w:pPr>
              <w:snapToGrid w:val="0"/>
              <w:spacing w:before="120" w:beforeLines="50" w:after="360" w:line="312" w:lineRule="auto"/>
              <w:rPr>
                <w:rFonts w:ascii="Times New Roman" w:hAnsi="Times New Roman" w:eastAsia="宋体" w:cs="Times New Roman"/>
                <w:b/>
                <w:bCs/>
                <w:kern w:val="44"/>
                <w:sz w:val="24"/>
                <w:szCs w:val="20"/>
              </w:rPr>
            </w:pPr>
          </w:p>
        </w:tc>
      </w:tr>
      <w:tr w14:paraId="356849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tcPr>
          <w:p w14:paraId="0371D9CF">
            <w:pPr>
              <w:snapToGrid w:val="0"/>
              <w:spacing w:before="120" w:beforeLines="50" w:line="312" w:lineRule="auto"/>
              <w:rPr>
                <w:rFonts w:ascii="Times New Roman" w:hAnsi="Times New Roman" w:eastAsia="宋体" w:cs="Times New Roman"/>
                <w:sz w:val="24"/>
              </w:rPr>
            </w:pPr>
          </w:p>
        </w:tc>
        <w:tc>
          <w:tcPr>
            <w:tcW w:w="3240" w:type="dxa"/>
            <w:tcBorders>
              <w:top w:val="single" w:color="auto" w:sz="4" w:space="0"/>
              <w:left w:val="single" w:color="auto" w:sz="4" w:space="0"/>
              <w:bottom w:val="single" w:color="auto" w:sz="4" w:space="0"/>
              <w:right w:val="single" w:color="auto" w:sz="4" w:space="0"/>
            </w:tcBorders>
          </w:tcPr>
          <w:p w14:paraId="5F741DB7">
            <w:pPr>
              <w:snapToGrid w:val="0"/>
              <w:spacing w:before="120" w:beforeLines="50" w:after="360" w:line="312" w:lineRule="auto"/>
              <w:rPr>
                <w:rFonts w:ascii="Times New Roman" w:hAnsi="Times New Roman" w:eastAsia="宋体" w:cs="Times New Roman"/>
                <w:b/>
                <w:bCs/>
                <w:kern w:val="44"/>
                <w:sz w:val="24"/>
                <w:szCs w:val="20"/>
              </w:rPr>
            </w:pPr>
          </w:p>
        </w:tc>
        <w:tc>
          <w:tcPr>
            <w:tcW w:w="1260" w:type="dxa"/>
            <w:tcBorders>
              <w:top w:val="single" w:color="auto" w:sz="4" w:space="0"/>
              <w:left w:val="single" w:color="auto" w:sz="4" w:space="0"/>
              <w:bottom w:val="single" w:color="auto" w:sz="4" w:space="0"/>
              <w:right w:val="single" w:color="auto" w:sz="4" w:space="0"/>
            </w:tcBorders>
          </w:tcPr>
          <w:p w14:paraId="0F05B3EA">
            <w:pPr>
              <w:snapToGrid w:val="0"/>
              <w:spacing w:before="120" w:beforeLines="50" w:after="360" w:line="312" w:lineRule="auto"/>
              <w:rPr>
                <w:rFonts w:ascii="Times New Roman" w:hAnsi="Times New Roman" w:eastAsia="宋体" w:cs="Times New Roman"/>
                <w:b/>
                <w:bCs/>
                <w:kern w:val="44"/>
                <w:sz w:val="24"/>
                <w:szCs w:val="20"/>
              </w:rPr>
            </w:pPr>
          </w:p>
        </w:tc>
        <w:tc>
          <w:tcPr>
            <w:tcW w:w="3020" w:type="dxa"/>
            <w:tcBorders>
              <w:top w:val="single" w:color="auto" w:sz="4" w:space="0"/>
              <w:left w:val="single" w:color="auto" w:sz="4" w:space="0"/>
              <w:bottom w:val="single" w:color="auto" w:sz="4" w:space="0"/>
              <w:right w:val="single" w:color="auto" w:sz="4" w:space="0"/>
            </w:tcBorders>
          </w:tcPr>
          <w:p w14:paraId="732A808F">
            <w:pPr>
              <w:snapToGrid w:val="0"/>
              <w:spacing w:before="120" w:beforeLines="50" w:after="360" w:line="312" w:lineRule="auto"/>
              <w:rPr>
                <w:rFonts w:ascii="Times New Roman" w:hAnsi="Times New Roman" w:eastAsia="宋体" w:cs="Times New Roman"/>
                <w:b/>
                <w:bCs/>
                <w:kern w:val="44"/>
                <w:sz w:val="24"/>
                <w:szCs w:val="20"/>
              </w:rPr>
            </w:pPr>
          </w:p>
        </w:tc>
      </w:tr>
    </w:tbl>
    <w:p w14:paraId="7405A687">
      <w:pPr>
        <w:snapToGrid w:val="0"/>
        <w:spacing w:line="312" w:lineRule="auto"/>
        <w:ind w:left="642" w:hanging="642"/>
        <w:rPr>
          <w:rFonts w:ascii="Times New Roman" w:hAnsi="Times New Roman" w:eastAsia="宋体" w:cs="Times New Roman"/>
          <w:b/>
          <w:spacing w:val="20"/>
          <w:kern w:val="0"/>
          <w:sz w:val="28"/>
          <w:szCs w:val="20"/>
        </w:rPr>
      </w:pPr>
    </w:p>
    <w:p w14:paraId="60A087D4">
      <w:pPr>
        <w:widowControl/>
        <w:spacing w:line="312" w:lineRule="auto"/>
        <w:jc w:val="left"/>
        <w:rPr>
          <w:rFonts w:ascii="Times New Roman" w:hAnsi="Times New Roman" w:eastAsia="宋体" w:cs="Times New Roman"/>
          <w:kern w:val="0"/>
          <w:sz w:val="24"/>
        </w:rPr>
        <w:sectPr>
          <w:pgSz w:w="11906" w:h="16838"/>
          <w:pgMar w:top="1304" w:right="1531" w:bottom="1304" w:left="1531" w:header="1304" w:footer="1304" w:gutter="0"/>
          <w:cols w:space="720" w:num="1"/>
        </w:sectPr>
      </w:pPr>
    </w:p>
    <w:p w14:paraId="5B5C56AB">
      <w:pPr>
        <w:snapToGrid w:val="0"/>
        <w:spacing w:before="50" w:after="120" w:afterLines="50" w:line="312" w:lineRule="auto"/>
        <w:jc w:val="left"/>
        <w:rPr>
          <w:rFonts w:ascii="Times New Roman" w:hAnsi="Times New Roman" w:eastAsia="宋体" w:cs="Times New Roman"/>
          <w:sz w:val="24"/>
        </w:rPr>
      </w:pPr>
      <w:r>
        <w:rPr>
          <w:rFonts w:hint="eastAsia" w:ascii="Times New Roman" w:hAnsi="Times New Roman" w:eastAsia="宋体" w:cs="Times New Roman"/>
          <w:b/>
          <w:sz w:val="24"/>
        </w:rPr>
        <w:t>九、投标人的类似案例的业绩证明文件：</w:t>
      </w:r>
    </w:p>
    <w:p w14:paraId="405622AE">
      <w:pPr>
        <w:snapToGrid w:val="0"/>
        <w:spacing w:line="312" w:lineRule="auto"/>
        <w:ind w:left="420" w:hanging="420" w:hangingChars="200"/>
        <w:rPr>
          <w:rFonts w:ascii="Times New Roman" w:hAnsi="Times New Roman" w:eastAsia="宋体" w:cs="Times New Roman"/>
          <w:sz w:val="24"/>
        </w:rPr>
      </w:pPr>
      <w:r>
        <w:rPr>
          <w:rFonts w:hint="eastAsia" w:ascii="Times New Roman" w:hAnsi="Times New Roman" w:eastAsia="宋体" w:cs="Times New Roman"/>
        </w:rPr>
        <w:t>投标人同类项目实施情况一览表格式：（投标人同类项目合同复印件格式自拟）</w:t>
      </w:r>
    </w:p>
    <w:tbl>
      <w:tblPr>
        <w:tblStyle w:val="61"/>
        <w:tblW w:w="1405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626"/>
        <w:gridCol w:w="3419"/>
        <w:gridCol w:w="8014"/>
      </w:tblGrid>
      <w:tr w14:paraId="6CC3DD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2626" w:type="dxa"/>
            <w:vMerge w:val="restart"/>
            <w:tcBorders>
              <w:top w:val="single" w:color="auto" w:sz="4" w:space="0"/>
              <w:left w:val="single" w:color="auto" w:sz="4" w:space="0"/>
              <w:bottom w:val="single" w:color="auto" w:sz="4" w:space="0"/>
              <w:right w:val="single" w:color="auto" w:sz="4" w:space="0"/>
            </w:tcBorders>
            <w:vAlign w:val="center"/>
          </w:tcPr>
          <w:p w14:paraId="33EB5213">
            <w:pPr>
              <w:snapToGrid w:val="0"/>
              <w:spacing w:line="312" w:lineRule="auto"/>
              <w:jc w:val="center"/>
              <w:rPr>
                <w:rFonts w:ascii="Times New Roman" w:hAnsi="Times New Roman" w:eastAsia="宋体" w:cs="Times New Roman"/>
                <w:szCs w:val="21"/>
              </w:rPr>
            </w:pPr>
            <w:r>
              <w:rPr>
                <w:rFonts w:hint="eastAsia" w:ascii="Times New Roman" w:hAnsi="Times New Roman" w:eastAsia="宋体" w:cs="Times New Roman"/>
                <w:szCs w:val="21"/>
              </w:rPr>
              <w:t>采购单位名称</w:t>
            </w:r>
          </w:p>
        </w:tc>
        <w:tc>
          <w:tcPr>
            <w:tcW w:w="3419" w:type="dxa"/>
            <w:vMerge w:val="restart"/>
            <w:tcBorders>
              <w:top w:val="single" w:color="auto" w:sz="4" w:space="0"/>
              <w:left w:val="single" w:color="auto" w:sz="4" w:space="0"/>
              <w:bottom w:val="single" w:color="auto" w:sz="4" w:space="0"/>
              <w:right w:val="single" w:color="auto" w:sz="4" w:space="0"/>
            </w:tcBorders>
            <w:vAlign w:val="center"/>
          </w:tcPr>
          <w:p w14:paraId="572AC5DC">
            <w:pPr>
              <w:snapToGrid w:val="0"/>
              <w:spacing w:line="312" w:lineRule="auto"/>
              <w:jc w:val="center"/>
              <w:rPr>
                <w:rFonts w:ascii="Times New Roman" w:hAnsi="Times New Roman" w:eastAsia="宋体" w:cs="Times New Roman"/>
                <w:szCs w:val="21"/>
              </w:rPr>
            </w:pPr>
            <w:r>
              <w:rPr>
                <w:rFonts w:hint="eastAsia" w:ascii="Times New Roman" w:hAnsi="Times New Roman" w:eastAsia="宋体" w:cs="Times New Roman"/>
                <w:szCs w:val="21"/>
              </w:rPr>
              <w:t>项目名称</w:t>
            </w:r>
          </w:p>
        </w:tc>
        <w:tc>
          <w:tcPr>
            <w:tcW w:w="8014" w:type="dxa"/>
            <w:vMerge w:val="restart"/>
            <w:tcBorders>
              <w:top w:val="single" w:color="auto" w:sz="4" w:space="0"/>
              <w:left w:val="single" w:color="auto" w:sz="4" w:space="0"/>
              <w:bottom w:val="single" w:color="auto" w:sz="4" w:space="0"/>
              <w:right w:val="single" w:color="auto" w:sz="4" w:space="0"/>
            </w:tcBorders>
            <w:vAlign w:val="center"/>
          </w:tcPr>
          <w:p w14:paraId="0B4424E1">
            <w:pPr>
              <w:snapToGrid w:val="0"/>
              <w:spacing w:line="312" w:lineRule="auto"/>
              <w:jc w:val="center"/>
              <w:rPr>
                <w:rFonts w:ascii="Times New Roman" w:hAnsi="Times New Roman" w:eastAsia="宋体" w:cs="Times New Roman"/>
                <w:szCs w:val="21"/>
              </w:rPr>
            </w:pPr>
            <w:r>
              <w:rPr>
                <w:rFonts w:hint="eastAsia" w:ascii="Times New Roman" w:hAnsi="Times New Roman" w:eastAsia="宋体" w:cs="Times New Roman"/>
                <w:szCs w:val="21"/>
              </w:rPr>
              <w:t>合同金额</w:t>
            </w:r>
          </w:p>
          <w:p w14:paraId="228958FF">
            <w:pPr>
              <w:snapToGrid w:val="0"/>
              <w:spacing w:line="312" w:lineRule="auto"/>
              <w:jc w:val="center"/>
              <w:rPr>
                <w:rFonts w:ascii="Times New Roman" w:hAnsi="Times New Roman" w:eastAsia="宋体" w:cs="Times New Roman"/>
                <w:szCs w:val="21"/>
              </w:rPr>
            </w:pPr>
            <w:r>
              <w:rPr>
                <w:rFonts w:hint="eastAsia" w:ascii="Times New Roman" w:hAnsi="Times New Roman" w:eastAsia="宋体" w:cs="Times New Roman"/>
                <w:szCs w:val="21"/>
              </w:rPr>
              <w:t>（万元）</w:t>
            </w:r>
          </w:p>
        </w:tc>
      </w:tr>
      <w:tr w14:paraId="36CD0A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6" w:hRule="atLeast"/>
        </w:trPr>
        <w:tc>
          <w:tcPr>
            <w:tcW w:w="2626" w:type="dxa"/>
            <w:vMerge w:val="continue"/>
            <w:tcBorders>
              <w:top w:val="single" w:color="auto" w:sz="4" w:space="0"/>
              <w:left w:val="single" w:color="auto" w:sz="4" w:space="0"/>
              <w:bottom w:val="single" w:color="auto" w:sz="4" w:space="0"/>
              <w:right w:val="single" w:color="auto" w:sz="4" w:space="0"/>
            </w:tcBorders>
            <w:vAlign w:val="center"/>
          </w:tcPr>
          <w:p w14:paraId="2E3EAB69">
            <w:pPr>
              <w:widowControl/>
              <w:jc w:val="left"/>
              <w:rPr>
                <w:rFonts w:ascii="Times New Roman" w:hAnsi="Times New Roman" w:eastAsia="宋体" w:cs="Times New Roman"/>
                <w:szCs w:val="21"/>
              </w:rPr>
            </w:pPr>
          </w:p>
        </w:tc>
        <w:tc>
          <w:tcPr>
            <w:tcW w:w="3419" w:type="dxa"/>
            <w:vMerge w:val="continue"/>
            <w:tcBorders>
              <w:top w:val="single" w:color="auto" w:sz="4" w:space="0"/>
              <w:left w:val="single" w:color="auto" w:sz="4" w:space="0"/>
              <w:bottom w:val="single" w:color="auto" w:sz="4" w:space="0"/>
              <w:right w:val="single" w:color="auto" w:sz="4" w:space="0"/>
            </w:tcBorders>
            <w:vAlign w:val="center"/>
          </w:tcPr>
          <w:p w14:paraId="19292727">
            <w:pPr>
              <w:widowControl/>
              <w:jc w:val="left"/>
              <w:rPr>
                <w:rFonts w:ascii="Times New Roman" w:hAnsi="Times New Roman" w:eastAsia="宋体" w:cs="Times New Roman"/>
                <w:szCs w:val="21"/>
              </w:rPr>
            </w:pPr>
          </w:p>
        </w:tc>
        <w:tc>
          <w:tcPr>
            <w:tcW w:w="8014" w:type="dxa"/>
            <w:vMerge w:val="continue"/>
            <w:tcBorders>
              <w:top w:val="single" w:color="auto" w:sz="4" w:space="0"/>
              <w:left w:val="single" w:color="auto" w:sz="4" w:space="0"/>
              <w:bottom w:val="single" w:color="auto" w:sz="4" w:space="0"/>
              <w:right w:val="single" w:color="auto" w:sz="4" w:space="0"/>
            </w:tcBorders>
            <w:vAlign w:val="center"/>
          </w:tcPr>
          <w:p w14:paraId="270B0A20">
            <w:pPr>
              <w:widowControl/>
              <w:jc w:val="left"/>
              <w:rPr>
                <w:rFonts w:ascii="Times New Roman" w:hAnsi="Times New Roman" w:eastAsia="宋体" w:cs="Times New Roman"/>
                <w:szCs w:val="21"/>
              </w:rPr>
            </w:pPr>
          </w:p>
        </w:tc>
      </w:tr>
      <w:tr w14:paraId="19BB33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2626" w:type="dxa"/>
            <w:tcBorders>
              <w:top w:val="single" w:color="auto" w:sz="4" w:space="0"/>
              <w:left w:val="single" w:color="auto" w:sz="4" w:space="0"/>
              <w:bottom w:val="single" w:color="auto" w:sz="4" w:space="0"/>
              <w:right w:val="single" w:color="auto" w:sz="4" w:space="0"/>
            </w:tcBorders>
          </w:tcPr>
          <w:p w14:paraId="222BA30F">
            <w:pPr>
              <w:snapToGrid w:val="0"/>
              <w:spacing w:line="312" w:lineRule="auto"/>
              <w:jc w:val="left"/>
              <w:rPr>
                <w:rFonts w:ascii="Times New Roman" w:hAnsi="Times New Roman" w:eastAsia="宋体" w:cs="Times New Roman"/>
                <w:szCs w:val="21"/>
              </w:rPr>
            </w:pPr>
          </w:p>
        </w:tc>
        <w:tc>
          <w:tcPr>
            <w:tcW w:w="3419" w:type="dxa"/>
            <w:tcBorders>
              <w:top w:val="single" w:color="auto" w:sz="4" w:space="0"/>
              <w:left w:val="single" w:color="auto" w:sz="4" w:space="0"/>
              <w:bottom w:val="single" w:color="auto" w:sz="4" w:space="0"/>
              <w:right w:val="single" w:color="auto" w:sz="4" w:space="0"/>
            </w:tcBorders>
          </w:tcPr>
          <w:p w14:paraId="63895C56">
            <w:pPr>
              <w:snapToGrid w:val="0"/>
              <w:spacing w:line="312" w:lineRule="auto"/>
              <w:jc w:val="left"/>
              <w:rPr>
                <w:rFonts w:ascii="Times New Roman" w:hAnsi="Times New Roman" w:eastAsia="宋体" w:cs="Times New Roman"/>
                <w:szCs w:val="21"/>
              </w:rPr>
            </w:pPr>
          </w:p>
        </w:tc>
        <w:tc>
          <w:tcPr>
            <w:tcW w:w="8014" w:type="dxa"/>
            <w:tcBorders>
              <w:top w:val="single" w:color="auto" w:sz="4" w:space="0"/>
              <w:left w:val="single" w:color="auto" w:sz="4" w:space="0"/>
              <w:bottom w:val="single" w:color="auto" w:sz="4" w:space="0"/>
              <w:right w:val="single" w:color="auto" w:sz="4" w:space="0"/>
            </w:tcBorders>
          </w:tcPr>
          <w:p w14:paraId="4C6B0613">
            <w:pPr>
              <w:snapToGrid w:val="0"/>
              <w:spacing w:line="312" w:lineRule="auto"/>
              <w:jc w:val="left"/>
              <w:rPr>
                <w:rFonts w:ascii="Times New Roman" w:hAnsi="Times New Roman" w:eastAsia="宋体" w:cs="Times New Roman"/>
                <w:szCs w:val="21"/>
              </w:rPr>
            </w:pPr>
          </w:p>
        </w:tc>
      </w:tr>
      <w:tr w14:paraId="7E6250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26" w:type="dxa"/>
            <w:tcBorders>
              <w:top w:val="single" w:color="auto" w:sz="4" w:space="0"/>
              <w:left w:val="single" w:color="auto" w:sz="4" w:space="0"/>
              <w:bottom w:val="single" w:color="auto" w:sz="4" w:space="0"/>
              <w:right w:val="single" w:color="auto" w:sz="4" w:space="0"/>
            </w:tcBorders>
          </w:tcPr>
          <w:p w14:paraId="41B37ABA">
            <w:pPr>
              <w:snapToGrid w:val="0"/>
              <w:spacing w:before="50" w:after="120" w:afterLines="50" w:line="312" w:lineRule="auto"/>
              <w:jc w:val="left"/>
              <w:rPr>
                <w:rFonts w:ascii="Times New Roman" w:hAnsi="Times New Roman" w:eastAsia="宋体" w:cs="Times New Roman"/>
                <w:sz w:val="24"/>
              </w:rPr>
            </w:pPr>
          </w:p>
        </w:tc>
        <w:tc>
          <w:tcPr>
            <w:tcW w:w="3419" w:type="dxa"/>
            <w:tcBorders>
              <w:top w:val="single" w:color="auto" w:sz="4" w:space="0"/>
              <w:left w:val="single" w:color="auto" w:sz="4" w:space="0"/>
              <w:bottom w:val="single" w:color="auto" w:sz="4" w:space="0"/>
              <w:right w:val="single" w:color="auto" w:sz="4" w:space="0"/>
            </w:tcBorders>
          </w:tcPr>
          <w:p w14:paraId="783B5DBA">
            <w:pPr>
              <w:snapToGrid w:val="0"/>
              <w:spacing w:before="600" w:after="120" w:afterLines="50" w:line="312" w:lineRule="auto"/>
              <w:jc w:val="left"/>
              <w:rPr>
                <w:rFonts w:ascii="Times New Roman" w:hAnsi="Times New Roman" w:eastAsia="宋体" w:cs="Times New Roman"/>
                <w:b/>
                <w:bCs/>
                <w:kern w:val="44"/>
                <w:sz w:val="24"/>
                <w:szCs w:val="20"/>
              </w:rPr>
            </w:pPr>
          </w:p>
        </w:tc>
        <w:tc>
          <w:tcPr>
            <w:tcW w:w="8014" w:type="dxa"/>
            <w:tcBorders>
              <w:top w:val="single" w:color="auto" w:sz="4" w:space="0"/>
              <w:left w:val="single" w:color="auto" w:sz="4" w:space="0"/>
              <w:bottom w:val="single" w:color="auto" w:sz="4" w:space="0"/>
              <w:right w:val="single" w:color="auto" w:sz="4" w:space="0"/>
            </w:tcBorders>
          </w:tcPr>
          <w:p w14:paraId="680B7F4A">
            <w:pPr>
              <w:snapToGrid w:val="0"/>
              <w:spacing w:before="600" w:after="120" w:afterLines="50" w:line="312" w:lineRule="auto"/>
              <w:jc w:val="left"/>
              <w:rPr>
                <w:rFonts w:ascii="Times New Roman" w:hAnsi="Times New Roman" w:eastAsia="宋体" w:cs="Times New Roman"/>
                <w:b/>
                <w:bCs/>
                <w:kern w:val="44"/>
                <w:sz w:val="24"/>
                <w:szCs w:val="20"/>
              </w:rPr>
            </w:pPr>
          </w:p>
        </w:tc>
      </w:tr>
      <w:tr w14:paraId="1081CA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2626" w:type="dxa"/>
            <w:tcBorders>
              <w:top w:val="single" w:color="auto" w:sz="4" w:space="0"/>
              <w:left w:val="single" w:color="auto" w:sz="4" w:space="0"/>
              <w:bottom w:val="single" w:color="auto" w:sz="4" w:space="0"/>
              <w:right w:val="single" w:color="auto" w:sz="4" w:space="0"/>
            </w:tcBorders>
          </w:tcPr>
          <w:p w14:paraId="1B5FC04F">
            <w:pPr>
              <w:snapToGrid w:val="0"/>
              <w:spacing w:before="50" w:after="120" w:afterLines="50" w:line="312" w:lineRule="auto"/>
              <w:jc w:val="left"/>
              <w:rPr>
                <w:rFonts w:ascii="Times New Roman" w:hAnsi="Times New Roman" w:eastAsia="宋体" w:cs="Times New Roman"/>
                <w:sz w:val="24"/>
              </w:rPr>
            </w:pPr>
          </w:p>
        </w:tc>
        <w:tc>
          <w:tcPr>
            <w:tcW w:w="3419" w:type="dxa"/>
            <w:tcBorders>
              <w:top w:val="single" w:color="auto" w:sz="4" w:space="0"/>
              <w:left w:val="single" w:color="auto" w:sz="4" w:space="0"/>
              <w:bottom w:val="single" w:color="auto" w:sz="4" w:space="0"/>
              <w:right w:val="single" w:color="auto" w:sz="4" w:space="0"/>
            </w:tcBorders>
          </w:tcPr>
          <w:p w14:paraId="1D9AC3B6">
            <w:pPr>
              <w:snapToGrid w:val="0"/>
              <w:spacing w:before="600" w:after="120" w:afterLines="50" w:line="312" w:lineRule="auto"/>
              <w:jc w:val="left"/>
              <w:rPr>
                <w:rFonts w:ascii="Times New Roman" w:hAnsi="Times New Roman" w:eastAsia="宋体" w:cs="Times New Roman"/>
                <w:b/>
                <w:bCs/>
                <w:kern w:val="44"/>
                <w:sz w:val="24"/>
                <w:szCs w:val="20"/>
              </w:rPr>
            </w:pPr>
          </w:p>
        </w:tc>
        <w:tc>
          <w:tcPr>
            <w:tcW w:w="8014" w:type="dxa"/>
            <w:tcBorders>
              <w:top w:val="single" w:color="auto" w:sz="4" w:space="0"/>
              <w:left w:val="single" w:color="auto" w:sz="4" w:space="0"/>
              <w:bottom w:val="single" w:color="auto" w:sz="4" w:space="0"/>
              <w:right w:val="single" w:color="auto" w:sz="4" w:space="0"/>
            </w:tcBorders>
          </w:tcPr>
          <w:p w14:paraId="56CC9518">
            <w:pPr>
              <w:snapToGrid w:val="0"/>
              <w:spacing w:before="600" w:after="120" w:afterLines="50" w:line="312" w:lineRule="auto"/>
              <w:jc w:val="left"/>
              <w:rPr>
                <w:rFonts w:ascii="Times New Roman" w:hAnsi="Times New Roman" w:eastAsia="宋体" w:cs="Times New Roman"/>
                <w:b/>
                <w:bCs/>
                <w:kern w:val="44"/>
                <w:sz w:val="24"/>
                <w:szCs w:val="20"/>
              </w:rPr>
            </w:pPr>
          </w:p>
        </w:tc>
      </w:tr>
      <w:tr w14:paraId="42D0A2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26" w:type="dxa"/>
            <w:tcBorders>
              <w:top w:val="single" w:color="auto" w:sz="4" w:space="0"/>
              <w:left w:val="single" w:color="auto" w:sz="4" w:space="0"/>
              <w:bottom w:val="single" w:color="auto" w:sz="4" w:space="0"/>
              <w:right w:val="single" w:color="auto" w:sz="4" w:space="0"/>
            </w:tcBorders>
          </w:tcPr>
          <w:p w14:paraId="1ED6F8A2">
            <w:pPr>
              <w:snapToGrid w:val="0"/>
              <w:spacing w:before="50" w:after="120" w:afterLines="50" w:line="312" w:lineRule="auto"/>
              <w:jc w:val="left"/>
              <w:rPr>
                <w:rFonts w:ascii="Times New Roman" w:hAnsi="Times New Roman" w:eastAsia="宋体" w:cs="Times New Roman"/>
                <w:sz w:val="24"/>
              </w:rPr>
            </w:pPr>
          </w:p>
        </w:tc>
        <w:tc>
          <w:tcPr>
            <w:tcW w:w="3419" w:type="dxa"/>
            <w:tcBorders>
              <w:top w:val="single" w:color="auto" w:sz="4" w:space="0"/>
              <w:left w:val="single" w:color="auto" w:sz="4" w:space="0"/>
              <w:bottom w:val="single" w:color="auto" w:sz="4" w:space="0"/>
              <w:right w:val="single" w:color="auto" w:sz="4" w:space="0"/>
            </w:tcBorders>
          </w:tcPr>
          <w:p w14:paraId="6A1B030F">
            <w:pPr>
              <w:snapToGrid w:val="0"/>
              <w:spacing w:before="600" w:after="120" w:afterLines="50" w:line="312" w:lineRule="auto"/>
              <w:jc w:val="left"/>
              <w:rPr>
                <w:rFonts w:ascii="Times New Roman" w:hAnsi="Times New Roman" w:eastAsia="宋体" w:cs="Times New Roman"/>
                <w:b/>
                <w:bCs/>
                <w:kern w:val="44"/>
                <w:sz w:val="24"/>
                <w:szCs w:val="20"/>
              </w:rPr>
            </w:pPr>
          </w:p>
        </w:tc>
        <w:tc>
          <w:tcPr>
            <w:tcW w:w="8014" w:type="dxa"/>
            <w:tcBorders>
              <w:top w:val="single" w:color="auto" w:sz="4" w:space="0"/>
              <w:left w:val="single" w:color="auto" w:sz="4" w:space="0"/>
              <w:bottom w:val="single" w:color="auto" w:sz="4" w:space="0"/>
              <w:right w:val="single" w:color="auto" w:sz="4" w:space="0"/>
            </w:tcBorders>
          </w:tcPr>
          <w:p w14:paraId="69F06765">
            <w:pPr>
              <w:snapToGrid w:val="0"/>
              <w:spacing w:before="600" w:after="120" w:afterLines="50" w:line="312" w:lineRule="auto"/>
              <w:jc w:val="left"/>
              <w:rPr>
                <w:rFonts w:ascii="Times New Roman" w:hAnsi="Times New Roman" w:eastAsia="宋体" w:cs="Times New Roman"/>
                <w:b/>
                <w:bCs/>
                <w:kern w:val="44"/>
                <w:sz w:val="24"/>
                <w:szCs w:val="20"/>
              </w:rPr>
            </w:pPr>
          </w:p>
        </w:tc>
      </w:tr>
      <w:tr w14:paraId="6AA6A7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26" w:type="dxa"/>
            <w:tcBorders>
              <w:top w:val="single" w:color="auto" w:sz="4" w:space="0"/>
              <w:left w:val="single" w:color="auto" w:sz="4" w:space="0"/>
              <w:bottom w:val="single" w:color="auto" w:sz="4" w:space="0"/>
              <w:right w:val="single" w:color="auto" w:sz="4" w:space="0"/>
            </w:tcBorders>
          </w:tcPr>
          <w:p w14:paraId="20586C8D">
            <w:pPr>
              <w:snapToGrid w:val="0"/>
              <w:spacing w:before="50" w:after="120" w:afterLines="50" w:line="312" w:lineRule="auto"/>
              <w:jc w:val="left"/>
              <w:rPr>
                <w:rFonts w:ascii="Times New Roman" w:hAnsi="Times New Roman" w:eastAsia="宋体" w:cs="Times New Roman"/>
                <w:sz w:val="24"/>
              </w:rPr>
            </w:pPr>
          </w:p>
        </w:tc>
        <w:tc>
          <w:tcPr>
            <w:tcW w:w="3419" w:type="dxa"/>
            <w:tcBorders>
              <w:top w:val="single" w:color="auto" w:sz="4" w:space="0"/>
              <w:left w:val="single" w:color="auto" w:sz="4" w:space="0"/>
              <w:bottom w:val="single" w:color="auto" w:sz="4" w:space="0"/>
              <w:right w:val="single" w:color="auto" w:sz="4" w:space="0"/>
            </w:tcBorders>
          </w:tcPr>
          <w:p w14:paraId="3D02881F">
            <w:pPr>
              <w:snapToGrid w:val="0"/>
              <w:spacing w:before="600" w:after="120" w:afterLines="50" w:line="312" w:lineRule="auto"/>
              <w:jc w:val="left"/>
              <w:rPr>
                <w:rFonts w:ascii="Times New Roman" w:hAnsi="Times New Roman" w:eastAsia="宋体" w:cs="Times New Roman"/>
                <w:b/>
                <w:bCs/>
                <w:kern w:val="44"/>
                <w:sz w:val="24"/>
                <w:szCs w:val="20"/>
              </w:rPr>
            </w:pPr>
          </w:p>
        </w:tc>
        <w:tc>
          <w:tcPr>
            <w:tcW w:w="8014" w:type="dxa"/>
            <w:tcBorders>
              <w:top w:val="single" w:color="auto" w:sz="4" w:space="0"/>
              <w:left w:val="single" w:color="auto" w:sz="4" w:space="0"/>
              <w:bottom w:val="single" w:color="auto" w:sz="4" w:space="0"/>
              <w:right w:val="single" w:color="auto" w:sz="4" w:space="0"/>
            </w:tcBorders>
          </w:tcPr>
          <w:p w14:paraId="27943CE6">
            <w:pPr>
              <w:snapToGrid w:val="0"/>
              <w:spacing w:before="600" w:after="120" w:afterLines="50" w:line="312" w:lineRule="auto"/>
              <w:jc w:val="left"/>
              <w:rPr>
                <w:rFonts w:ascii="Times New Roman" w:hAnsi="Times New Roman" w:eastAsia="宋体" w:cs="Times New Roman"/>
                <w:b/>
                <w:bCs/>
                <w:kern w:val="44"/>
                <w:sz w:val="24"/>
                <w:szCs w:val="20"/>
              </w:rPr>
            </w:pPr>
          </w:p>
        </w:tc>
      </w:tr>
    </w:tbl>
    <w:p w14:paraId="6E012FFE">
      <w:pPr>
        <w:snapToGrid w:val="0"/>
        <w:spacing w:before="152" w:after="160" w:line="312" w:lineRule="auto"/>
        <w:rPr>
          <w:rFonts w:ascii="Times New Roman" w:hAnsi="Times New Roman" w:eastAsia="宋体" w:cs="Times New Roman"/>
          <w:kern w:val="0"/>
          <w:sz w:val="20"/>
          <w:szCs w:val="20"/>
        </w:rPr>
      </w:pPr>
    </w:p>
    <w:p w14:paraId="5E7410E4">
      <w:pPr>
        <w:snapToGrid w:val="0"/>
        <w:spacing w:before="50" w:after="50"/>
        <w:rPr>
          <w:rFonts w:ascii="Times New Roman" w:hAnsi="Times New Roman" w:eastAsia="宋体" w:cs="Times New Roman"/>
        </w:rPr>
      </w:pPr>
    </w:p>
    <w:p w14:paraId="592B0EEA">
      <w:pPr>
        <w:snapToGrid w:val="0"/>
        <w:ind w:left="2" w:right="-817" w:rightChars="-389"/>
        <w:rPr>
          <w:rFonts w:ascii="Times New Roman" w:hAnsi="Times New Roman" w:eastAsia="宋体" w:cs="Times New Roman"/>
        </w:rPr>
      </w:pPr>
    </w:p>
    <w:p w14:paraId="2611DE29">
      <w:pPr>
        <w:snapToGrid w:val="0"/>
        <w:spacing w:before="50" w:line="312" w:lineRule="auto"/>
        <w:jc w:val="left"/>
        <w:rPr>
          <w:rFonts w:ascii="Times New Roman" w:hAnsi="Times New Roman" w:eastAsia="宋体" w:cs="Times New Roman"/>
          <w:kern w:val="0"/>
          <w:sz w:val="30"/>
        </w:rPr>
        <w:sectPr>
          <w:pgSz w:w="16838" w:h="11906" w:orient="landscape"/>
          <w:pgMar w:top="1418" w:right="1361" w:bottom="924" w:left="1134" w:header="851" w:footer="992" w:gutter="0"/>
          <w:cols w:space="720" w:num="1"/>
        </w:sectPr>
      </w:pPr>
      <w:r>
        <w:rPr>
          <w:rFonts w:hint="eastAsia" w:ascii="Times New Roman" w:hAnsi="Times New Roman" w:eastAsia="宋体" w:cs="Times New Roman"/>
        </w:rPr>
        <w:t>投标人名称（盖章）：年月日</w:t>
      </w:r>
    </w:p>
    <w:p w14:paraId="4398CA39">
      <w:pPr>
        <w:snapToGrid w:val="0"/>
        <w:spacing w:before="156" w:beforeLines="50" w:after="50" w:line="312" w:lineRule="auto"/>
        <w:jc w:val="center"/>
        <w:rPr>
          <w:rFonts w:ascii="Times New Roman" w:hAnsi="Times New Roman" w:eastAsia="宋体" w:cs="Times New Roman"/>
          <w:b/>
          <w:sz w:val="24"/>
        </w:rPr>
      </w:pPr>
      <w:r>
        <w:rPr>
          <w:rFonts w:hint="eastAsia" w:ascii="Times New Roman" w:hAnsi="Times New Roman" w:eastAsia="宋体" w:cs="Times New Roman"/>
          <w:b/>
          <w:sz w:val="24"/>
        </w:rPr>
        <w:t>十、项目实施人员（主要从业人员及其技术资格）一览表</w:t>
      </w:r>
    </w:p>
    <w:p w14:paraId="5CD648E4">
      <w:pPr>
        <w:snapToGrid w:val="0"/>
        <w:spacing w:before="156" w:beforeLines="50" w:after="50" w:line="312" w:lineRule="auto"/>
        <w:rPr>
          <w:rFonts w:ascii="Times New Roman" w:hAnsi="Times New Roman" w:eastAsia="宋体" w:cs="Times New Roman"/>
        </w:rPr>
      </w:pPr>
    </w:p>
    <w:p w14:paraId="1C4F3F32">
      <w:pPr>
        <w:snapToGrid w:val="0"/>
        <w:spacing w:line="312" w:lineRule="auto"/>
        <w:rPr>
          <w:rFonts w:ascii="Times New Roman" w:hAnsi="Times New Roman" w:eastAsia="宋体" w:cs="Times New Roman"/>
        </w:rPr>
      </w:pPr>
      <w:r>
        <w:rPr>
          <w:rFonts w:hint="eastAsia" w:ascii="Times New Roman" w:hAnsi="Times New Roman" w:eastAsia="宋体" w:cs="Times New Roman"/>
        </w:rPr>
        <w:t>项目名称：</w:t>
      </w:r>
    </w:p>
    <w:p w14:paraId="590DF8B0">
      <w:pPr>
        <w:snapToGrid w:val="0"/>
        <w:spacing w:line="312" w:lineRule="auto"/>
        <w:rPr>
          <w:rFonts w:ascii="Times New Roman" w:hAnsi="Times New Roman" w:eastAsia="宋体" w:cs="Times New Roman"/>
        </w:rPr>
      </w:pPr>
      <w:r>
        <w:rPr>
          <w:rFonts w:hint="eastAsia" w:ascii="Times New Roman" w:hAnsi="Times New Roman" w:eastAsia="宋体" w:cs="Times New Roman"/>
        </w:rPr>
        <w:t>项目编号：</w:t>
      </w:r>
    </w:p>
    <w:tbl>
      <w:tblPr>
        <w:tblStyle w:val="61"/>
        <w:tblW w:w="9248" w:type="dxa"/>
        <w:tblInd w:w="-14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4"/>
        <w:gridCol w:w="1004"/>
        <w:gridCol w:w="1662"/>
        <w:gridCol w:w="1260"/>
        <w:gridCol w:w="1619"/>
        <w:gridCol w:w="2699"/>
      </w:tblGrid>
      <w:tr w14:paraId="181AD2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vAlign w:val="bottom"/>
          </w:tcPr>
          <w:p w14:paraId="61E299FC">
            <w:pPr>
              <w:snapToGrid w:val="0"/>
              <w:spacing w:before="156" w:beforeLines="50" w:after="50" w:line="312" w:lineRule="auto"/>
              <w:rPr>
                <w:rFonts w:ascii="Times New Roman" w:hAnsi="Times New Roman" w:eastAsia="宋体" w:cs="Times New Roman"/>
              </w:rPr>
            </w:pPr>
            <w:r>
              <w:rPr>
                <w:rFonts w:hint="eastAsia" w:ascii="Times New Roman" w:hAnsi="Times New Roman" w:eastAsia="宋体" w:cs="Times New Roman"/>
              </w:rPr>
              <w:t>姓名</w:t>
            </w:r>
          </w:p>
        </w:tc>
        <w:tc>
          <w:tcPr>
            <w:tcW w:w="1004" w:type="dxa"/>
            <w:tcBorders>
              <w:top w:val="single" w:color="auto" w:sz="4" w:space="0"/>
              <w:left w:val="single" w:color="auto" w:sz="4" w:space="0"/>
              <w:bottom w:val="single" w:color="auto" w:sz="4" w:space="0"/>
              <w:right w:val="single" w:color="auto" w:sz="4" w:space="0"/>
            </w:tcBorders>
            <w:vAlign w:val="bottom"/>
          </w:tcPr>
          <w:p w14:paraId="1DB2689E">
            <w:pPr>
              <w:snapToGrid w:val="0"/>
              <w:spacing w:before="156" w:beforeLines="50" w:after="50" w:line="312" w:lineRule="auto"/>
              <w:rPr>
                <w:rFonts w:ascii="Times New Roman" w:hAnsi="Times New Roman" w:eastAsia="宋体" w:cs="Times New Roman"/>
              </w:rPr>
            </w:pPr>
            <w:r>
              <w:rPr>
                <w:rFonts w:hint="eastAsia" w:ascii="Times New Roman" w:hAnsi="Times New Roman" w:eastAsia="宋体" w:cs="Times New Roman"/>
              </w:rPr>
              <w:t>职务</w:t>
            </w:r>
          </w:p>
        </w:tc>
        <w:tc>
          <w:tcPr>
            <w:tcW w:w="1662" w:type="dxa"/>
            <w:tcBorders>
              <w:top w:val="single" w:color="auto" w:sz="4" w:space="0"/>
              <w:left w:val="single" w:color="auto" w:sz="4" w:space="0"/>
              <w:bottom w:val="single" w:color="auto" w:sz="4" w:space="0"/>
              <w:right w:val="single" w:color="auto" w:sz="4" w:space="0"/>
            </w:tcBorders>
            <w:vAlign w:val="bottom"/>
          </w:tcPr>
          <w:p w14:paraId="0A793AA5">
            <w:pPr>
              <w:snapToGrid w:val="0"/>
              <w:spacing w:before="156" w:beforeLines="50" w:after="50" w:line="312" w:lineRule="auto"/>
              <w:jc w:val="center"/>
              <w:rPr>
                <w:rFonts w:ascii="Times New Roman" w:hAnsi="Times New Roman" w:eastAsia="宋体" w:cs="Times New Roman"/>
              </w:rPr>
            </w:pPr>
            <w:r>
              <w:rPr>
                <w:rFonts w:hint="eastAsia" w:ascii="Times New Roman" w:hAnsi="Times New Roman" w:eastAsia="宋体" w:cs="Times New Roman"/>
              </w:rPr>
              <w:t>专业技术资格</w:t>
            </w:r>
          </w:p>
        </w:tc>
        <w:tc>
          <w:tcPr>
            <w:tcW w:w="1260" w:type="dxa"/>
            <w:tcBorders>
              <w:top w:val="single" w:color="auto" w:sz="4" w:space="0"/>
              <w:left w:val="single" w:color="auto" w:sz="4" w:space="0"/>
              <w:bottom w:val="single" w:color="auto" w:sz="4" w:space="0"/>
              <w:right w:val="single" w:color="auto" w:sz="4" w:space="0"/>
            </w:tcBorders>
            <w:vAlign w:val="bottom"/>
          </w:tcPr>
          <w:p w14:paraId="1189039A">
            <w:pPr>
              <w:snapToGrid w:val="0"/>
              <w:spacing w:before="156" w:beforeLines="50" w:after="50" w:line="312" w:lineRule="auto"/>
              <w:rPr>
                <w:rFonts w:ascii="Times New Roman" w:hAnsi="Times New Roman" w:eastAsia="宋体" w:cs="Times New Roman"/>
              </w:rPr>
            </w:pPr>
            <w:r>
              <w:rPr>
                <w:rFonts w:hint="eastAsia" w:ascii="Times New Roman" w:hAnsi="Times New Roman" w:eastAsia="宋体" w:cs="Times New Roman"/>
              </w:rPr>
              <w:t>证书编号</w:t>
            </w:r>
          </w:p>
        </w:tc>
        <w:tc>
          <w:tcPr>
            <w:tcW w:w="1619" w:type="dxa"/>
            <w:tcBorders>
              <w:top w:val="single" w:color="auto" w:sz="4" w:space="0"/>
              <w:left w:val="single" w:color="auto" w:sz="4" w:space="0"/>
              <w:bottom w:val="single" w:color="auto" w:sz="4" w:space="0"/>
              <w:right w:val="single" w:color="auto" w:sz="4" w:space="0"/>
            </w:tcBorders>
            <w:vAlign w:val="bottom"/>
          </w:tcPr>
          <w:p w14:paraId="4534BEAB">
            <w:pPr>
              <w:snapToGrid w:val="0"/>
              <w:spacing w:before="156" w:beforeLines="50" w:after="50" w:line="312" w:lineRule="auto"/>
              <w:rPr>
                <w:rFonts w:ascii="Times New Roman" w:hAnsi="Times New Roman" w:eastAsia="宋体" w:cs="Times New Roman"/>
              </w:rPr>
            </w:pPr>
            <w:r>
              <w:rPr>
                <w:rFonts w:hint="eastAsia" w:ascii="Times New Roman" w:hAnsi="Times New Roman" w:eastAsia="宋体" w:cs="Times New Roman"/>
              </w:rPr>
              <w:t>参加本单位工作时间</w:t>
            </w:r>
          </w:p>
        </w:tc>
        <w:tc>
          <w:tcPr>
            <w:tcW w:w="2699" w:type="dxa"/>
            <w:tcBorders>
              <w:top w:val="single" w:color="auto" w:sz="4" w:space="0"/>
              <w:left w:val="single" w:color="auto" w:sz="4" w:space="0"/>
              <w:bottom w:val="single" w:color="auto" w:sz="4" w:space="0"/>
              <w:right w:val="single" w:color="auto" w:sz="4" w:space="0"/>
            </w:tcBorders>
            <w:vAlign w:val="bottom"/>
          </w:tcPr>
          <w:p w14:paraId="7B197ED0">
            <w:pPr>
              <w:snapToGrid w:val="0"/>
              <w:spacing w:before="156" w:beforeLines="50" w:after="50" w:line="312" w:lineRule="auto"/>
              <w:rPr>
                <w:rFonts w:ascii="Times New Roman" w:hAnsi="Times New Roman" w:eastAsia="宋体" w:cs="Times New Roman"/>
              </w:rPr>
            </w:pPr>
            <w:r>
              <w:rPr>
                <w:rFonts w:hint="eastAsia" w:ascii="Times New Roman" w:hAnsi="Times New Roman" w:eastAsia="宋体" w:cs="Times New Roman"/>
              </w:rPr>
              <w:t>劳动合同编号</w:t>
            </w:r>
          </w:p>
        </w:tc>
      </w:tr>
      <w:tr w14:paraId="4952C2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12320BAE">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3AB056F3">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14EF8927">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1BE76272">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5C293A24">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3F024A1B">
            <w:pPr>
              <w:snapToGrid w:val="0"/>
              <w:spacing w:before="156" w:beforeLines="50" w:after="120" w:line="312" w:lineRule="auto"/>
              <w:rPr>
                <w:rFonts w:ascii="Times New Roman" w:hAnsi="Times New Roman" w:eastAsia="宋体" w:cs="Times New Roman"/>
                <w:b/>
                <w:bCs/>
                <w:sz w:val="24"/>
                <w:szCs w:val="36"/>
              </w:rPr>
            </w:pPr>
          </w:p>
        </w:tc>
      </w:tr>
      <w:tr w14:paraId="710F6E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1322896F">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7C2E0895">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6A48926D">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5F9A2564">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209EB76E">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0AEBA645">
            <w:pPr>
              <w:snapToGrid w:val="0"/>
              <w:spacing w:before="156" w:beforeLines="50" w:after="120" w:line="312" w:lineRule="auto"/>
              <w:rPr>
                <w:rFonts w:ascii="Times New Roman" w:hAnsi="Times New Roman" w:eastAsia="宋体" w:cs="Times New Roman"/>
                <w:b/>
                <w:bCs/>
                <w:sz w:val="24"/>
                <w:szCs w:val="36"/>
              </w:rPr>
            </w:pPr>
          </w:p>
        </w:tc>
      </w:tr>
      <w:tr w14:paraId="6AF948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5F0445E3">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393F5ABA">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6339D8D3">
            <w:pPr>
              <w:snapToGrid w:val="0"/>
              <w:spacing w:before="156" w:beforeLines="50" w:after="120" w:line="312" w:lineRule="auto"/>
              <w:ind w:left="5250" w:leftChars="2500"/>
              <w:rPr>
                <w:rFonts w:ascii="Times New Roman" w:hAnsi="Times New Roman" w:eastAsia="宋体" w:cs="Times New Roman"/>
                <w:b/>
                <w:bCs/>
                <w:kern w:val="0"/>
                <w:sz w:val="24"/>
                <w:szCs w:val="36"/>
              </w:rPr>
            </w:pPr>
          </w:p>
        </w:tc>
        <w:tc>
          <w:tcPr>
            <w:tcW w:w="1260" w:type="dxa"/>
            <w:tcBorders>
              <w:top w:val="single" w:color="auto" w:sz="4" w:space="0"/>
              <w:left w:val="single" w:color="auto" w:sz="4" w:space="0"/>
              <w:bottom w:val="single" w:color="auto" w:sz="4" w:space="0"/>
              <w:right w:val="single" w:color="auto" w:sz="4" w:space="0"/>
            </w:tcBorders>
          </w:tcPr>
          <w:p w14:paraId="42D8E1E5">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1C8936CE">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16680860">
            <w:pPr>
              <w:snapToGrid w:val="0"/>
              <w:spacing w:before="156" w:beforeLines="50" w:after="120" w:line="312" w:lineRule="auto"/>
              <w:rPr>
                <w:rFonts w:ascii="Times New Roman" w:hAnsi="Times New Roman" w:eastAsia="宋体" w:cs="Times New Roman"/>
                <w:b/>
                <w:bCs/>
                <w:sz w:val="24"/>
                <w:szCs w:val="36"/>
              </w:rPr>
            </w:pPr>
          </w:p>
        </w:tc>
      </w:tr>
      <w:tr w14:paraId="52627E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2CBABDD6">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45BDAD4A">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2E047278">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1078A813">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5625EAD6">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1229A518">
            <w:pPr>
              <w:snapToGrid w:val="0"/>
              <w:spacing w:before="156" w:beforeLines="50" w:after="120" w:line="312" w:lineRule="auto"/>
              <w:rPr>
                <w:rFonts w:ascii="Times New Roman" w:hAnsi="Times New Roman" w:eastAsia="宋体" w:cs="Times New Roman"/>
                <w:b/>
                <w:bCs/>
                <w:sz w:val="24"/>
                <w:szCs w:val="36"/>
              </w:rPr>
            </w:pPr>
          </w:p>
        </w:tc>
      </w:tr>
      <w:tr w14:paraId="55585A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2958DFFD">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2D695A8A">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5F44DFAA">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711E2F91">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5C071365">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27583332">
            <w:pPr>
              <w:snapToGrid w:val="0"/>
              <w:spacing w:before="156" w:beforeLines="50" w:after="120" w:line="312" w:lineRule="auto"/>
              <w:rPr>
                <w:rFonts w:ascii="Times New Roman" w:hAnsi="Times New Roman" w:eastAsia="宋体" w:cs="Times New Roman"/>
                <w:b/>
                <w:bCs/>
                <w:sz w:val="24"/>
                <w:szCs w:val="36"/>
              </w:rPr>
            </w:pPr>
          </w:p>
        </w:tc>
      </w:tr>
      <w:tr w14:paraId="5534B9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386554A6">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50A25730">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5AE5D767">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217DD738">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4192FBDD">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14472AFE">
            <w:pPr>
              <w:snapToGrid w:val="0"/>
              <w:spacing w:before="156" w:beforeLines="50" w:after="120" w:line="312" w:lineRule="auto"/>
              <w:rPr>
                <w:rFonts w:ascii="Times New Roman" w:hAnsi="Times New Roman" w:eastAsia="宋体" w:cs="Times New Roman"/>
                <w:b/>
                <w:bCs/>
                <w:sz w:val="24"/>
                <w:szCs w:val="36"/>
              </w:rPr>
            </w:pPr>
          </w:p>
        </w:tc>
      </w:tr>
      <w:tr w14:paraId="72692D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351E25A3">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1F1483CB">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71C34EF5">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19C8C9C6">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06A8F408">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60470D7A">
            <w:pPr>
              <w:snapToGrid w:val="0"/>
              <w:spacing w:before="156" w:beforeLines="50" w:after="120" w:line="312" w:lineRule="auto"/>
              <w:rPr>
                <w:rFonts w:ascii="Times New Roman" w:hAnsi="Times New Roman" w:eastAsia="宋体" w:cs="Times New Roman"/>
                <w:b/>
                <w:bCs/>
                <w:sz w:val="24"/>
                <w:szCs w:val="36"/>
              </w:rPr>
            </w:pPr>
          </w:p>
        </w:tc>
      </w:tr>
      <w:tr w14:paraId="5427B6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399CAF37">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64F2D409">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6CED1593">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111341A8">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3AAF0F97">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550A590A">
            <w:pPr>
              <w:snapToGrid w:val="0"/>
              <w:spacing w:before="156" w:beforeLines="50" w:after="120" w:line="312" w:lineRule="auto"/>
              <w:rPr>
                <w:rFonts w:ascii="Times New Roman" w:hAnsi="Times New Roman" w:eastAsia="宋体" w:cs="Times New Roman"/>
                <w:b/>
                <w:bCs/>
                <w:sz w:val="24"/>
                <w:szCs w:val="36"/>
              </w:rPr>
            </w:pPr>
          </w:p>
        </w:tc>
      </w:tr>
      <w:tr w14:paraId="5C8BB5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04" w:type="dxa"/>
            <w:tcBorders>
              <w:top w:val="single" w:color="auto" w:sz="4" w:space="0"/>
              <w:left w:val="single" w:color="auto" w:sz="4" w:space="0"/>
              <w:bottom w:val="single" w:color="auto" w:sz="4" w:space="0"/>
              <w:right w:val="single" w:color="auto" w:sz="4" w:space="0"/>
            </w:tcBorders>
          </w:tcPr>
          <w:p w14:paraId="245C99E7">
            <w:pPr>
              <w:snapToGrid w:val="0"/>
              <w:spacing w:before="156" w:beforeLines="50" w:after="50" w:line="312" w:lineRule="auto"/>
              <w:rPr>
                <w:rFonts w:ascii="Times New Roman" w:hAnsi="Times New Roman" w:eastAsia="宋体" w:cs="Times New Roman"/>
                <w:sz w:val="24"/>
              </w:rPr>
            </w:pPr>
          </w:p>
        </w:tc>
        <w:tc>
          <w:tcPr>
            <w:tcW w:w="1004" w:type="dxa"/>
            <w:tcBorders>
              <w:top w:val="single" w:color="auto" w:sz="4" w:space="0"/>
              <w:left w:val="single" w:color="auto" w:sz="4" w:space="0"/>
              <w:bottom w:val="single" w:color="auto" w:sz="4" w:space="0"/>
              <w:right w:val="single" w:color="auto" w:sz="4" w:space="0"/>
            </w:tcBorders>
          </w:tcPr>
          <w:p w14:paraId="7054A4AF">
            <w:pPr>
              <w:snapToGrid w:val="0"/>
              <w:spacing w:before="156" w:beforeLines="50" w:after="120" w:line="312" w:lineRule="auto"/>
              <w:rPr>
                <w:rFonts w:ascii="Times New Roman" w:hAnsi="Times New Roman" w:eastAsia="宋体" w:cs="Times New Roman"/>
                <w:b/>
                <w:bCs/>
                <w:sz w:val="24"/>
                <w:szCs w:val="36"/>
              </w:rPr>
            </w:pPr>
          </w:p>
        </w:tc>
        <w:tc>
          <w:tcPr>
            <w:tcW w:w="1662" w:type="dxa"/>
            <w:tcBorders>
              <w:top w:val="single" w:color="auto" w:sz="4" w:space="0"/>
              <w:left w:val="single" w:color="auto" w:sz="4" w:space="0"/>
              <w:bottom w:val="single" w:color="auto" w:sz="4" w:space="0"/>
              <w:right w:val="single" w:color="auto" w:sz="4" w:space="0"/>
            </w:tcBorders>
          </w:tcPr>
          <w:p w14:paraId="10675F0D">
            <w:pPr>
              <w:snapToGrid w:val="0"/>
              <w:spacing w:before="156" w:beforeLines="50" w:after="120" w:line="312" w:lineRule="auto"/>
              <w:rPr>
                <w:rFonts w:ascii="Times New Roman" w:hAnsi="Times New Roman" w:eastAsia="宋体" w:cs="Times New Roman"/>
                <w:b/>
                <w:bCs/>
                <w:sz w:val="24"/>
                <w:szCs w:val="36"/>
              </w:rPr>
            </w:pPr>
          </w:p>
        </w:tc>
        <w:tc>
          <w:tcPr>
            <w:tcW w:w="1260" w:type="dxa"/>
            <w:tcBorders>
              <w:top w:val="single" w:color="auto" w:sz="4" w:space="0"/>
              <w:left w:val="single" w:color="auto" w:sz="4" w:space="0"/>
              <w:bottom w:val="single" w:color="auto" w:sz="4" w:space="0"/>
              <w:right w:val="single" w:color="auto" w:sz="4" w:space="0"/>
            </w:tcBorders>
          </w:tcPr>
          <w:p w14:paraId="68D09E15">
            <w:pPr>
              <w:snapToGrid w:val="0"/>
              <w:spacing w:before="156" w:beforeLines="50" w:after="120" w:line="312" w:lineRule="auto"/>
              <w:rPr>
                <w:rFonts w:ascii="Times New Roman" w:hAnsi="Times New Roman" w:eastAsia="宋体" w:cs="Times New Roman"/>
                <w:b/>
                <w:bCs/>
                <w:sz w:val="24"/>
                <w:szCs w:val="36"/>
              </w:rPr>
            </w:pPr>
          </w:p>
        </w:tc>
        <w:tc>
          <w:tcPr>
            <w:tcW w:w="1619" w:type="dxa"/>
            <w:tcBorders>
              <w:top w:val="single" w:color="auto" w:sz="4" w:space="0"/>
              <w:left w:val="single" w:color="auto" w:sz="4" w:space="0"/>
              <w:bottom w:val="single" w:color="auto" w:sz="4" w:space="0"/>
              <w:right w:val="single" w:color="auto" w:sz="4" w:space="0"/>
            </w:tcBorders>
          </w:tcPr>
          <w:p w14:paraId="30EDFD57">
            <w:pPr>
              <w:snapToGrid w:val="0"/>
              <w:spacing w:before="156" w:beforeLines="50" w:after="120" w:line="312" w:lineRule="auto"/>
              <w:rPr>
                <w:rFonts w:ascii="Times New Roman" w:hAnsi="Times New Roman" w:eastAsia="宋体" w:cs="Times New Roman"/>
                <w:b/>
                <w:bCs/>
                <w:sz w:val="24"/>
                <w:szCs w:val="36"/>
              </w:rPr>
            </w:pPr>
          </w:p>
        </w:tc>
        <w:tc>
          <w:tcPr>
            <w:tcW w:w="2699" w:type="dxa"/>
            <w:tcBorders>
              <w:top w:val="single" w:color="auto" w:sz="4" w:space="0"/>
              <w:left w:val="single" w:color="auto" w:sz="4" w:space="0"/>
              <w:bottom w:val="single" w:color="auto" w:sz="4" w:space="0"/>
              <w:right w:val="single" w:color="auto" w:sz="4" w:space="0"/>
            </w:tcBorders>
          </w:tcPr>
          <w:p w14:paraId="38A76149">
            <w:pPr>
              <w:snapToGrid w:val="0"/>
              <w:spacing w:before="156" w:beforeLines="50" w:after="120" w:line="312" w:lineRule="auto"/>
              <w:rPr>
                <w:rFonts w:ascii="Times New Roman" w:hAnsi="Times New Roman" w:eastAsia="宋体" w:cs="Times New Roman"/>
                <w:b/>
                <w:bCs/>
                <w:sz w:val="24"/>
                <w:szCs w:val="36"/>
              </w:rPr>
            </w:pPr>
          </w:p>
        </w:tc>
      </w:tr>
    </w:tbl>
    <w:p w14:paraId="2FA4C82E">
      <w:pPr>
        <w:snapToGrid w:val="0"/>
        <w:spacing w:before="50" w:after="156" w:afterLines="50" w:line="312" w:lineRule="auto"/>
        <w:jc w:val="left"/>
        <w:rPr>
          <w:rFonts w:ascii="Times New Roman" w:hAnsi="Times New Roman" w:eastAsia="宋体" w:cs="Times New Roman"/>
        </w:rPr>
      </w:pPr>
      <w:r>
        <w:rPr>
          <w:rFonts w:hint="eastAsia" w:ascii="Times New Roman" w:hAnsi="Times New Roman" w:eastAsia="宋体" w:cs="Times New Roman"/>
        </w:rPr>
        <w:t>注：在填写时，如本表格不适合投标单位的实际情况，可根据本表格式自行划表填写。</w:t>
      </w:r>
    </w:p>
    <w:p w14:paraId="5C3DA71D">
      <w:pPr>
        <w:snapToGrid w:val="0"/>
        <w:spacing w:before="50" w:after="50" w:line="312" w:lineRule="auto"/>
        <w:rPr>
          <w:rFonts w:ascii="Times New Roman" w:hAnsi="Times New Roman" w:eastAsia="宋体" w:cs="Times New Roman"/>
          <w:spacing w:val="20"/>
          <w:sz w:val="24"/>
        </w:rPr>
      </w:pPr>
    </w:p>
    <w:p w14:paraId="25A4BF79">
      <w:pPr>
        <w:snapToGrid w:val="0"/>
        <w:spacing w:before="50" w:after="50" w:line="312" w:lineRule="auto"/>
        <w:rPr>
          <w:rFonts w:ascii="Times New Roman" w:hAnsi="Times New Roman" w:eastAsia="宋体" w:cs="Times New Roman"/>
          <w:spacing w:val="20"/>
          <w:sz w:val="24"/>
        </w:rPr>
      </w:pPr>
    </w:p>
    <w:p w14:paraId="5C5C71EA">
      <w:pPr>
        <w:snapToGrid w:val="0"/>
        <w:ind w:left="2" w:right="-817" w:rightChars="-389"/>
        <w:rPr>
          <w:rFonts w:ascii="Times New Roman" w:hAnsi="Times New Roman" w:eastAsia="宋体" w:cs="Times New Roman"/>
        </w:rPr>
      </w:pPr>
    </w:p>
    <w:p w14:paraId="3127B74D">
      <w:pPr>
        <w:snapToGrid w:val="0"/>
        <w:spacing w:before="50" w:after="156" w:afterLines="50" w:line="312" w:lineRule="auto"/>
        <w:jc w:val="left"/>
        <w:rPr>
          <w:rFonts w:ascii="Times New Roman" w:hAnsi="Times New Roman" w:eastAsia="宋体" w:cs="Times New Roman"/>
          <w:spacing w:val="20"/>
          <w:sz w:val="24"/>
          <w:u w:val="single"/>
        </w:rPr>
      </w:pPr>
      <w:r>
        <w:rPr>
          <w:rFonts w:hint="eastAsia" w:ascii="Times New Roman" w:hAnsi="Times New Roman" w:eastAsia="宋体" w:cs="Times New Roman"/>
        </w:rPr>
        <w:t>投标人名称（盖章）：</w:t>
      </w:r>
      <w:r>
        <w:rPr>
          <w:rFonts w:hint="eastAsia" w:ascii="Times New Roman" w:hAnsi="Times New Roman" w:eastAsia="宋体" w:cs="Times New Roman"/>
          <w:spacing w:val="20"/>
          <w:sz w:val="24"/>
        </w:rPr>
        <w:t>日期：</w:t>
      </w:r>
    </w:p>
    <w:p w14:paraId="1B71409A">
      <w:pPr>
        <w:snapToGrid w:val="0"/>
        <w:spacing w:before="50" w:after="156" w:afterLines="50" w:line="312" w:lineRule="auto"/>
        <w:jc w:val="left"/>
        <w:rPr>
          <w:rFonts w:ascii="Times New Roman" w:hAnsi="Times New Roman" w:eastAsia="宋体" w:cs="Times New Roman"/>
          <w:sz w:val="24"/>
        </w:rPr>
      </w:pPr>
    </w:p>
    <w:p w14:paraId="16342D39">
      <w:pPr>
        <w:snapToGrid w:val="0"/>
        <w:spacing w:before="50" w:after="156" w:afterLines="50" w:line="312" w:lineRule="auto"/>
        <w:jc w:val="left"/>
        <w:rPr>
          <w:rFonts w:ascii="Times New Roman" w:hAnsi="Times New Roman" w:eastAsia="宋体" w:cs="Times New Roman"/>
          <w:sz w:val="24"/>
        </w:rPr>
      </w:pPr>
    </w:p>
    <w:p w14:paraId="20D16B6E">
      <w:pPr>
        <w:snapToGrid w:val="0"/>
        <w:spacing w:before="50" w:after="156" w:afterLines="50" w:line="312" w:lineRule="auto"/>
        <w:jc w:val="left"/>
        <w:rPr>
          <w:rFonts w:ascii="Times New Roman" w:hAnsi="Times New Roman" w:eastAsia="宋体" w:cs="Times New Roman"/>
          <w:sz w:val="24"/>
        </w:rPr>
      </w:pPr>
    </w:p>
    <w:p w14:paraId="3BC370F9">
      <w:pPr>
        <w:snapToGrid w:val="0"/>
        <w:spacing w:before="50" w:after="156" w:afterLines="50"/>
        <w:jc w:val="left"/>
        <w:rPr>
          <w:rFonts w:ascii="Times New Roman" w:hAnsi="Times New Roman" w:eastAsia="宋体" w:cs="Times New Roman"/>
          <w:b/>
          <w:sz w:val="24"/>
        </w:rPr>
      </w:pPr>
    </w:p>
    <w:p w14:paraId="7C4950D0">
      <w:pPr>
        <w:pStyle w:val="18"/>
      </w:pPr>
    </w:p>
    <w:p w14:paraId="1FFE78C2">
      <w:pPr>
        <w:snapToGrid w:val="0"/>
        <w:spacing w:before="50" w:after="156" w:afterLines="50"/>
        <w:jc w:val="left"/>
        <w:rPr>
          <w:rFonts w:ascii="Times New Roman" w:hAnsi="Times New Roman" w:eastAsia="宋体" w:cs="Times New Roman"/>
          <w:b/>
          <w:sz w:val="24"/>
        </w:rPr>
      </w:pPr>
    </w:p>
    <w:p w14:paraId="32D43658">
      <w:pPr>
        <w:spacing w:line="360" w:lineRule="auto"/>
        <w:jc w:val="center"/>
        <w:rPr>
          <w:rFonts w:hint="eastAsia" w:ascii="宋体" w:hAnsi="宋体" w:eastAsia="宋体" w:cs="仿宋_GB2312"/>
          <w:b/>
          <w:bCs/>
          <w:sz w:val="28"/>
          <w:szCs w:val="28"/>
        </w:rPr>
      </w:pPr>
      <w:r>
        <w:rPr>
          <w:rFonts w:hint="eastAsia" w:ascii="宋体" w:hAnsi="宋体" w:eastAsia="宋体" w:cs="仿宋_GB2312"/>
          <w:b/>
          <w:bCs/>
          <w:sz w:val="28"/>
          <w:szCs w:val="28"/>
        </w:rPr>
        <w:t>十一、设备配置清单</w:t>
      </w:r>
    </w:p>
    <w:p w14:paraId="33C04D7E">
      <w:pPr>
        <w:spacing w:line="360" w:lineRule="auto"/>
        <w:rPr>
          <w:rFonts w:hint="eastAsia" w:ascii="宋体" w:hAnsi="宋体" w:eastAsia="宋体" w:cs="仿宋_GB2312"/>
          <w:szCs w:val="21"/>
        </w:rPr>
      </w:pPr>
    </w:p>
    <w:p w14:paraId="5502CFD4">
      <w:pPr>
        <w:spacing w:line="360" w:lineRule="auto"/>
        <w:rPr>
          <w:rFonts w:hint="eastAsia" w:ascii="宋体" w:hAnsi="宋体" w:eastAsia="宋体" w:cs="仿宋_GB2312"/>
          <w:szCs w:val="21"/>
        </w:rPr>
      </w:pPr>
      <w:r>
        <w:rPr>
          <w:rFonts w:hint="eastAsia" w:ascii="宋体" w:hAnsi="宋体" w:eastAsia="宋体" w:cs="仿宋_GB2312"/>
          <w:szCs w:val="21"/>
        </w:rPr>
        <w:t xml:space="preserve">项目名称：               </w:t>
      </w:r>
    </w:p>
    <w:p w14:paraId="077DBF58">
      <w:pPr>
        <w:spacing w:line="360" w:lineRule="auto"/>
        <w:rPr>
          <w:rFonts w:hint="eastAsia" w:ascii="宋体" w:hAnsi="宋体" w:eastAsia="宋体" w:cs="仿宋_GB2312"/>
          <w:szCs w:val="21"/>
        </w:rPr>
      </w:pPr>
      <w:r>
        <w:rPr>
          <w:rFonts w:hint="eastAsia" w:ascii="宋体" w:hAnsi="宋体" w:eastAsia="宋体" w:cs="仿宋_GB2312"/>
          <w:szCs w:val="21"/>
        </w:rPr>
        <w:t>项目编号：</w:t>
      </w:r>
    </w:p>
    <w:tbl>
      <w:tblPr>
        <w:tblStyle w:val="61"/>
        <w:tblW w:w="907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573"/>
        <w:gridCol w:w="1359"/>
        <w:gridCol w:w="1599"/>
        <w:gridCol w:w="1148"/>
        <w:gridCol w:w="1148"/>
        <w:gridCol w:w="1348"/>
      </w:tblGrid>
      <w:tr w14:paraId="640781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617ED71A">
            <w:pPr>
              <w:snapToGrid w:val="0"/>
              <w:jc w:val="center"/>
              <w:rPr>
                <w:rFonts w:hint="eastAsia" w:ascii="宋体" w:hAnsi="宋体" w:eastAsia="宋体" w:cs="Times New Roman"/>
                <w:szCs w:val="21"/>
              </w:rPr>
            </w:pPr>
            <w:r>
              <w:rPr>
                <w:rFonts w:hint="eastAsia" w:ascii="宋体" w:hAnsi="宋体" w:eastAsia="宋体" w:cs="仿宋_GB2312"/>
                <w:szCs w:val="21"/>
              </w:rPr>
              <w:t>序号</w:t>
            </w:r>
          </w:p>
        </w:tc>
        <w:tc>
          <w:tcPr>
            <w:tcW w:w="1574" w:type="dxa"/>
            <w:tcBorders>
              <w:top w:val="single" w:color="auto" w:sz="4" w:space="0"/>
              <w:left w:val="single" w:color="auto" w:sz="4" w:space="0"/>
              <w:bottom w:val="single" w:color="auto" w:sz="4" w:space="0"/>
              <w:right w:val="single" w:color="auto" w:sz="4" w:space="0"/>
            </w:tcBorders>
            <w:vAlign w:val="center"/>
          </w:tcPr>
          <w:p w14:paraId="7ACAD0A6">
            <w:pPr>
              <w:snapToGrid w:val="0"/>
              <w:jc w:val="center"/>
              <w:rPr>
                <w:rFonts w:hint="eastAsia" w:ascii="宋体" w:hAnsi="宋体" w:eastAsia="宋体" w:cs="Times New Roman"/>
                <w:szCs w:val="21"/>
              </w:rPr>
            </w:pPr>
            <w:r>
              <w:rPr>
                <w:rFonts w:hint="eastAsia" w:ascii="宋体" w:hAnsi="宋体" w:eastAsia="宋体" w:cs="仿宋_GB2312"/>
                <w:szCs w:val="21"/>
              </w:rPr>
              <w:t>设备名称</w:t>
            </w:r>
          </w:p>
        </w:tc>
        <w:tc>
          <w:tcPr>
            <w:tcW w:w="1360" w:type="dxa"/>
            <w:tcBorders>
              <w:top w:val="single" w:color="auto" w:sz="4" w:space="0"/>
              <w:left w:val="single" w:color="auto" w:sz="4" w:space="0"/>
              <w:bottom w:val="single" w:color="auto" w:sz="4" w:space="0"/>
              <w:right w:val="single" w:color="auto" w:sz="4" w:space="0"/>
            </w:tcBorders>
            <w:vAlign w:val="center"/>
          </w:tcPr>
          <w:p w14:paraId="75056969">
            <w:pPr>
              <w:snapToGrid w:val="0"/>
              <w:jc w:val="center"/>
              <w:rPr>
                <w:rFonts w:hint="eastAsia" w:ascii="宋体" w:hAnsi="宋体" w:eastAsia="宋体" w:cs="Times New Roman"/>
                <w:szCs w:val="21"/>
              </w:rPr>
            </w:pPr>
            <w:r>
              <w:rPr>
                <w:rFonts w:hint="eastAsia" w:ascii="宋体" w:hAnsi="宋体" w:eastAsia="宋体" w:cs="仿宋_GB2312"/>
                <w:szCs w:val="21"/>
              </w:rPr>
              <w:t>品牌</w:t>
            </w:r>
          </w:p>
        </w:tc>
        <w:tc>
          <w:tcPr>
            <w:tcW w:w="1600" w:type="dxa"/>
            <w:tcBorders>
              <w:top w:val="single" w:color="auto" w:sz="4" w:space="0"/>
              <w:left w:val="single" w:color="auto" w:sz="4" w:space="0"/>
              <w:bottom w:val="single" w:color="auto" w:sz="4" w:space="0"/>
              <w:right w:val="single" w:color="auto" w:sz="4" w:space="0"/>
            </w:tcBorders>
            <w:vAlign w:val="center"/>
          </w:tcPr>
          <w:p w14:paraId="3BACFB97">
            <w:pPr>
              <w:snapToGrid w:val="0"/>
              <w:jc w:val="center"/>
              <w:rPr>
                <w:rFonts w:hint="eastAsia" w:ascii="宋体" w:hAnsi="宋体" w:eastAsia="宋体" w:cs="Times New Roman"/>
                <w:szCs w:val="21"/>
              </w:rPr>
            </w:pPr>
            <w:r>
              <w:rPr>
                <w:rFonts w:hint="eastAsia" w:ascii="宋体" w:hAnsi="宋体" w:eastAsia="宋体" w:cs="仿宋_GB2312"/>
                <w:szCs w:val="21"/>
              </w:rPr>
              <w:t>规格型号</w:t>
            </w:r>
          </w:p>
        </w:tc>
        <w:tc>
          <w:tcPr>
            <w:tcW w:w="1149" w:type="dxa"/>
            <w:tcBorders>
              <w:top w:val="single" w:color="auto" w:sz="4" w:space="0"/>
              <w:left w:val="single" w:color="auto" w:sz="4" w:space="0"/>
              <w:bottom w:val="single" w:color="auto" w:sz="4" w:space="0"/>
              <w:right w:val="single" w:color="auto" w:sz="4" w:space="0"/>
            </w:tcBorders>
            <w:vAlign w:val="center"/>
          </w:tcPr>
          <w:p w14:paraId="6A44D5B2">
            <w:pPr>
              <w:snapToGrid w:val="0"/>
              <w:jc w:val="center"/>
              <w:rPr>
                <w:rFonts w:hint="eastAsia" w:ascii="宋体" w:hAnsi="宋体" w:eastAsia="宋体" w:cs="Times New Roman"/>
                <w:szCs w:val="21"/>
              </w:rPr>
            </w:pPr>
            <w:r>
              <w:rPr>
                <w:rFonts w:hint="eastAsia" w:ascii="宋体" w:hAnsi="宋体" w:eastAsia="宋体" w:cs="仿宋_GB2312"/>
                <w:szCs w:val="21"/>
              </w:rPr>
              <w:t>产地</w:t>
            </w:r>
          </w:p>
        </w:tc>
        <w:tc>
          <w:tcPr>
            <w:tcW w:w="1149" w:type="dxa"/>
            <w:tcBorders>
              <w:top w:val="single" w:color="auto" w:sz="4" w:space="0"/>
              <w:left w:val="single" w:color="auto" w:sz="4" w:space="0"/>
              <w:bottom w:val="single" w:color="auto" w:sz="4" w:space="0"/>
              <w:right w:val="single" w:color="auto" w:sz="4" w:space="0"/>
            </w:tcBorders>
            <w:vAlign w:val="center"/>
          </w:tcPr>
          <w:p w14:paraId="28E7035E">
            <w:pPr>
              <w:snapToGrid w:val="0"/>
              <w:jc w:val="center"/>
              <w:rPr>
                <w:rFonts w:hint="eastAsia" w:ascii="宋体" w:hAnsi="宋体" w:eastAsia="宋体" w:cs="Times New Roman"/>
                <w:szCs w:val="21"/>
              </w:rPr>
            </w:pPr>
            <w:r>
              <w:rPr>
                <w:rFonts w:hint="eastAsia" w:ascii="宋体" w:hAnsi="宋体" w:eastAsia="宋体" w:cs="仿宋_GB2312"/>
                <w:szCs w:val="21"/>
              </w:rPr>
              <w:t>数量</w:t>
            </w:r>
          </w:p>
        </w:tc>
        <w:tc>
          <w:tcPr>
            <w:tcW w:w="1349" w:type="dxa"/>
            <w:tcBorders>
              <w:top w:val="single" w:color="auto" w:sz="4" w:space="0"/>
              <w:left w:val="single" w:color="auto" w:sz="4" w:space="0"/>
              <w:bottom w:val="single" w:color="auto" w:sz="4" w:space="0"/>
              <w:right w:val="single" w:color="auto" w:sz="4" w:space="0"/>
            </w:tcBorders>
            <w:vAlign w:val="center"/>
          </w:tcPr>
          <w:p w14:paraId="2584BCA2">
            <w:pPr>
              <w:snapToGrid w:val="0"/>
              <w:jc w:val="center"/>
              <w:rPr>
                <w:rFonts w:hint="eastAsia" w:ascii="宋体" w:hAnsi="宋体" w:eastAsia="宋体" w:cs="Times New Roman"/>
                <w:szCs w:val="21"/>
              </w:rPr>
            </w:pPr>
            <w:r>
              <w:rPr>
                <w:rFonts w:hint="eastAsia" w:ascii="宋体" w:hAnsi="宋体" w:eastAsia="宋体" w:cs="仿宋_GB2312"/>
                <w:szCs w:val="21"/>
              </w:rPr>
              <w:t>备注</w:t>
            </w:r>
          </w:p>
        </w:tc>
      </w:tr>
      <w:tr w14:paraId="2391B1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5CE47BAD">
            <w:pPr>
              <w:snapToGrid w:val="0"/>
              <w:jc w:val="center"/>
              <w:rPr>
                <w:rFonts w:hint="eastAsia" w:ascii="宋体" w:hAnsi="宋体" w:eastAsia="宋体" w:cs="Times New Roman"/>
                <w:szCs w:val="21"/>
              </w:rPr>
            </w:pPr>
          </w:p>
        </w:tc>
        <w:tc>
          <w:tcPr>
            <w:tcW w:w="1574" w:type="dxa"/>
            <w:tcBorders>
              <w:top w:val="single" w:color="auto" w:sz="4" w:space="0"/>
              <w:left w:val="single" w:color="auto" w:sz="4" w:space="0"/>
              <w:bottom w:val="single" w:color="auto" w:sz="4" w:space="0"/>
              <w:right w:val="single" w:color="auto" w:sz="4" w:space="0"/>
            </w:tcBorders>
            <w:vAlign w:val="center"/>
          </w:tcPr>
          <w:p w14:paraId="6E29D64C">
            <w:pPr>
              <w:snapToGrid w:val="0"/>
              <w:jc w:val="center"/>
              <w:rPr>
                <w:rFonts w:hint="eastAsia" w:ascii="宋体" w:hAnsi="宋体" w:eastAsia="宋体" w:cs="Times New Roman"/>
                <w:szCs w:val="21"/>
              </w:rPr>
            </w:pPr>
          </w:p>
        </w:tc>
        <w:tc>
          <w:tcPr>
            <w:tcW w:w="1360" w:type="dxa"/>
            <w:tcBorders>
              <w:top w:val="single" w:color="auto" w:sz="4" w:space="0"/>
              <w:left w:val="single" w:color="auto" w:sz="4" w:space="0"/>
              <w:bottom w:val="single" w:color="auto" w:sz="4" w:space="0"/>
              <w:right w:val="single" w:color="auto" w:sz="4" w:space="0"/>
            </w:tcBorders>
            <w:vAlign w:val="center"/>
          </w:tcPr>
          <w:p w14:paraId="0443323C">
            <w:pPr>
              <w:snapToGrid w:val="0"/>
              <w:jc w:val="center"/>
              <w:rPr>
                <w:rFonts w:hint="eastAsia" w:ascii="宋体" w:hAnsi="宋体" w:eastAsia="宋体" w:cs="Times New Roman"/>
                <w:szCs w:val="21"/>
              </w:rPr>
            </w:pPr>
          </w:p>
        </w:tc>
        <w:tc>
          <w:tcPr>
            <w:tcW w:w="1600" w:type="dxa"/>
            <w:tcBorders>
              <w:top w:val="single" w:color="auto" w:sz="4" w:space="0"/>
              <w:left w:val="single" w:color="auto" w:sz="4" w:space="0"/>
              <w:bottom w:val="single" w:color="auto" w:sz="4" w:space="0"/>
              <w:right w:val="single" w:color="auto" w:sz="4" w:space="0"/>
            </w:tcBorders>
            <w:vAlign w:val="center"/>
          </w:tcPr>
          <w:p w14:paraId="353A5631">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0143FBAB">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6D6BEFD8">
            <w:pPr>
              <w:snapToGrid w:val="0"/>
              <w:jc w:val="center"/>
              <w:rPr>
                <w:rFonts w:hint="eastAsia" w:ascii="宋体" w:hAnsi="宋体" w:eastAsia="宋体" w:cs="Times New Roman"/>
                <w:szCs w:val="21"/>
              </w:rPr>
            </w:pPr>
          </w:p>
        </w:tc>
        <w:tc>
          <w:tcPr>
            <w:tcW w:w="1349" w:type="dxa"/>
            <w:tcBorders>
              <w:top w:val="single" w:color="auto" w:sz="4" w:space="0"/>
              <w:left w:val="single" w:color="auto" w:sz="4" w:space="0"/>
              <w:bottom w:val="single" w:color="auto" w:sz="4" w:space="0"/>
              <w:right w:val="single" w:color="auto" w:sz="4" w:space="0"/>
            </w:tcBorders>
            <w:vAlign w:val="center"/>
          </w:tcPr>
          <w:p w14:paraId="34533442">
            <w:pPr>
              <w:snapToGrid w:val="0"/>
              <w:jc w:val="center"/>
              <w:rPr>
                <w:rFonts w:hint="eastAsia" w:ascii="宋体" w:hAnsi="宋体" w:eastAsia="宋体" w:cs="Times New Roman"/>
                <w:szCs w:val="21"/>
              </w:rPr>
            </w:pPr>
          </w:p>
        </w:tc>
      </w:tr>
      <w:tr w14:paraId="39B809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4B4F095D">
            <w:pPr>
              <w:snapToGrid w:val="0"/>
              <w:jc w:val="center"/>
              <w:rPr>
                <w:rFonts w:hint="eastAsia" w:ascii="宋体" w:hAnsi="宋体" w:eastAsia="宋体" w:cs="Times New Roman"/>
                <w:szCs w:val="21"/>
              </w:rPr>
            </w:pPr>
          </w:p>
        </w:tc>
        <w:tc>
          <w:tcPr>
            <w:tcW w:w="1574" w:type="dxa"/>
            <w:tcBorders>
              <w:top w:val="single" w:color="auto" w:sz="4" w:space="0"/>
              <w:left w:val="single" w:color="auto" w:sz="4" w:space="0"/>
              <w:bottom w:val="single" w:color="auto" w:sz="4" w:space="0"/>
              <w:right w:val="single" w:color="auto" w:sz="4" w:space="0"/>
            </w:tcBorders>
            <w:vAlign w:val="center"/>
          </w:tcPr>
          <w:p w14:paraId="2E50A08F">
            <w:pPr>
              <w:snapToGrid w:val="0"/>
              <w:jc w:val="center"/>
              <w:rPr>
                <w:rFonts w:hint="eastAsia" w:ascii="宋体" w:hAnsi="宋体" w:eastAsia="宋体" w:cs="Times New Roman"/>
                <w:szCs w:val="21"/>
              </w:rPr>
            </w:pPr>
          </w:p>
        </w:tc>
        <w:tc>
          <w:tcPr>
            <w:tcW w:w="1360" w:type="dxa"/>
            <w:tcBorders>
              <w:top w:val="single" w:color="auto" w:sz="4" w:space="0"/>
              <w:left w:val="single" w:color="auto" w:sz="4" w:space="0"/>
              <w:bottom w:val="single" w:color="auto" w:sz="4" w:space="0"/>
              <w:right w:val="single" w:color="auto" w:sz="4" w:space="0"/>
            </w:tcBorders>
            <w:vAlign w:val="center"/>
          </w:tcPr>
          <w:p w14:paraId="3B4B6649">
            <w:pPr>
              <w:snapToGrid w:val="0"/>
              <w:jc w:val="center"/>
              <w:rPr>
                <w:rFonts w:hint="eastAsia" w:ascii="宋体" w:hAnsi="宋体" w:eastAsia="宋体" w:cs="Times New Roman"/>
                <w:szCs w:val="21"/>
              </w:rPr>
            </w:pPr>
          </w:p>
        </w:tc>
        <w:tc>
          <w:tcPr>
            <w:tcW w:w="1600" w:type="dxa"/>
            <w:tcBorders>
              <w:top w:val="single" w:color="auto" w:sz="4" w:space="0"/>
              <w:left w:val="single" w:color="auto" w:sz="4" w:space="0"/>
              <w:bottom w:val="single" w:color="auto" w:sz="4" w:space="0"/>
              <w:right w:val="single" w:color="auto" w:sz="4" w:space="0"/>
            </w:tcBorders>
            <w:vAlign w:val="center"/>
          </w:tcPr>
          <w:p w14:paraId="74EA6573">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153DB870">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024C610B">
            <w:pPr>
              <w:snapToGrid w:val="0"/>
              <w:jc w:val="center"/>
              <w:rPr>
                <w:rFonts w:hint="eastAsia" w:ascii="宋体" w:hAnsi="宋体" w:eastAsia="宋体" w:cs="Times New Roman"/>
                <w:szCs w:val="21"/>
              </w:rPr>
            </w:pPr>
          </w:p>
        </w:tc>
        <w:tc>
          <w:tcPr>
            <w:tcW w:w="1349" w:type="dxa"/>
            <w:tcBorders>
              <w:top w:val="single" w:color="auto" w:sz="4" w:space="0"/>
              <w:left w:val="single" w:color="auto" w:sz="4" w:space="0"/>
              <w:bottom w:val="nil"/>
              <w:right w:val="single" w:color="auto" w:sz="4" w:space="0"/>
            </w:tcBorders>
            <w:vAlign w:val="center"/>
          </w:tcPr>
          <w:p w14:paraId="67A12A0E">
            <w:pPr>
              <w:snapToGrid w:val="0"/>
              <w:jc w:val="center"/>
              <w:rPr>
                <w:rFonts w:hint="eastAsia" w:ascii="宋体" w:hAnsi="宋体" w:eastAsia="宋体" w:cs="Times New Roman"/>
                <w:szCs w:val="21"/>
              </w:rPr>
            </w:pPr>
          </w:p>
        </w:tc>
      </w:tr>
      <w:tr w14:paraId="11A6A7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366293D1">
            <w:pPr>
              <w:snapToGrid w:val="0"/>
              <w:jc w:val="center"/>
              <w:rPr>
                <w:rFonts w:hint="eastAsia" w:ascii="宋体" w:hAnsi="宋体" w:eastAsia="宋体" w:cs="Times New Roman"/>
                <w:szCs w:val="21"/>
              </w:rPr>
            </w:pPr>
          </w:p>
        </w:tc>
        <w:tc>
          <w:tcPr>
            <w:tcW w:w="1574" w:type="dxa"/>
            <w:tcBorders>
              <w:top w:val="single" w:color="auto" w:sz="4" w:space="0"/>
              <w:left w:val="single" w:color="auto" w:sz="4" w:space="0"/>
              <w:bottom w:val="single" w:color="auto" w:sz="4" w:space="0"/>
              <w:right w:val="single" w:color="auto" w:sz="4" w:space="0"/>
            </w:tcBorders>
            <w:vAlign w:val="center"/>
          </w:tcPr>
          <w:p w14:paraId="1BDE550C">
            <w:pPr>
              <w:snapToGrid w:val="0"/>
              <w:jc w:val="center"/>
              <w:rPr>
                <w:rFonts w:hint="eastAsia" w:ascii="宋体" w:hAnsi="宋体" w:eastAsia="宋体" w:cs="Times New Roman"/>
                <w:szCs w:val="21"/>
              </w:rPr>
            </w:pPr>
          </w:p>
        </w:tc>
        <w:tc>
          <w:tcPr>
            <w:tcW w:w="1360" w:type="dxa"/>
            <w:tcBorders>
              <w:top w:val="single" w:color="auto" w:sz="4" w:space="0"/>
              <w:left w:val="single" w:color="auto" w:sz="4" w:space="0"/>
              <w:bottom w:val="single" w:color="auto" w:sz="4" w:space="0"/>
              <w:right w:val="single" w:color="auto" w:sz="4" w:space="0"/>
            </w:tcBorders>
            <w:vAlign w:val="center"/>
          </w:tcPr>
          <w:p w14:paraId="2920FBF6">
            <w:pPr>
              <w:snapToGrid w:val="0"/>
              <w:jc w:val="center"/>
              <w:rPr>
                <w:rFonts w:hint="eastAsia" w:ascii="宋体" w:hAnsi="宋体" w:eastAsia="宋体" w:cs="Times New Roman"/>
                <w:szCs w:val="21"/>
              </w:rPr>
            </w:pPr>
          </w:p>
        </w:tc>
        <w:tc>
          <w:tcPr>
            <w:tcW w:w="1600" w:type="dxa"/>
            <w:tcBorders>
              <w:top w:val="single" w:color="auto" w:sz="4" w:space="0"/>
              <w:left w:val="single" w:color="auto" w:sz="4" w:space="0"/>
              <w:bottom w:val="single" w:color="auto" w:sz="4" w:space="0"/>
              <w:right w:val="single" w:color="auto" w:sz="4" w:space="0"/>
            </w:tcBorders>
            <w:vAlign w:val="center"/>
          </w:tcPr>
          <w:p w14:paraId="07A2D848">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0D8B7C42">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7CCD3660">
            <w:pPr>
              <w:snapToGrid w:val="0"/>
              <w:jc w:val="center"/>
              <w:rPr>
                <w:rFonts w:hint="eastAsia" w:ascii="宋体" w:hAnsi="宋体" w:eastAsia="宋体" w:cs="Times New Roman"/>
                <w:szCs w:val="21"/>
              </w:rPr>
            </w:pPr>
          </w:p>
        </w:tc>
        <w:tc>
          <w:tcPr>
            <w:tcW w:w="1349" w:type="dxa"/>
            <w:tcBorders>
              <w:top w:val="single" w:color="auto" w:sz="4" w:space="0"/>
              <w:left w:val="single" w:color="auto" w:sz="4" w:space="0"/>
              <w:bottom w:val="nil"/>
              <w:right w:val="single" w:color="auto" w:sz="4" w:space="0"/>
            </w:tcBorders>
            <w:vAlign w:val="center"/>
          </w:tcPr>
          <w:p w14:paraId="4897A005">
            <w:pPr>
              <w:snapToGrid w:val="0"/>
              <w:jc w:val="center"/>
              <w:rPr>
                <w:rFonts w:hint="eastAsia" w:ascii="宋体" w:hAnsi="宋体" w:eastAsia="宋体" w:cs="Times New Roman"/>
                <w:szCs w:val="21"/>
              </w:rPr>
            </w:pPr>
          </w:p>
        </w:tc>
      </w:tr>
      <w:tr w14:paraId="579E2E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3D5CCE91">
            <w:pPr>
              <w:snapToGrid w:val="0"/>
              <w:jc w:val="center"/>
              <w:rPr>
                <w:rFonts w:hint="eastAsia" w:ascii="宋体" w:hAnsi="宋体" w:eastAsia="宋体" w:cs="Times New Roman"/>
                <w:szCs w:val="21"/>
              </w:rPr>
            </w:pPr>
          </w:p>
        </w:tc>
        <w:tc>
          <w:tcPr>
            <w:tcW w:w="1574" w:type="dxa"/>
            <w:tcBorders>
              <w:top w:val="single" w:color="auto" w:sz="4" w:space="0"/>
              <w:left w:val="single" w:color="auto" w:sz="4" w:space="0"/>
              <w:bottom w:val="single" w:color="auto" w:sz="4" w:space="0"/>
              <w:right w:val="single" w:color="auto" w:sz="4" w:space="0"/>
            </w:tcBorders>
            <w:vAlign w:val="center"/>
          </w:tcPr>
          <w:p w14:paraId="6E61CAFA">
            <w:pPr>
              <w:snapToGrid w:val="0"/>
              <w:jc w:val="center"/>
              <w:rPr>
                <w:rFonts w:hint="eastAsia" w:ascii="宋体" w:hAnsi="宋体" w:eastAsia="宋体" w:cs="Times New Roman"/>
                <w:szCs w:val="21"/>
              </w:rPr>
            </w:pPr>
          </w:p>
        </w:tc>
        <w:tc>
          <w:tcPr>
            <w:tcW w:w="1360" w:type="dxa"/>
            <w:tcBorders>
              <w:top w:val="single" w:color="auto" w:sz="4" w:space="0"/>
              <w:left w:val="single" w:color="auto" w:sz="4" w:space="0"/>
              <w:bottom w:val="single" w:color="auto" w:sz="4" w:space="0"/>
              <w:right w:val="single" w:color="auto" w:sz="4" w:space="0"/>
            </w:tcBorders>
            <w:vAlign w:val="center"/>
          </w:tcPr>
          <w:p w14:paraId="12CF37BA">
            <w:pPr>
              <w:snapToGrid w:val="0"/>
              <w:jc w:val="center"/>
              <w:rPr>
                <w:rFonts w:hint="eastAsia" w:ascii="宋体" w:hAnsi="宋体" w:eastAsia="宋体" w:cs="Times New Roman"/>
                <w:szCs w:val="21"/>
              </w:rPr>
            </w:pPr>
          </w:p>
        </w:tc>
        <w:tc>
          <w:tcPr>
            <w:tcW w:w="1600" w:type="dxa"/>
            <w:tcBorders>
              <w:top w:val="single" w:color="auto" w:sz="4" w:space="0"/>
              <w:left w:val="single" w:color="auto" w:sz="4" w:space="0"/>
              <w:bottom w:val="single" w:color="auto" w:sz="4" w:space="0"/>
              <w:right w:val="single" w:color="auto" w:sz="4" w:space="0"/>
            </w:tcBorders>
            <w:vAlign w:val="center"/>
          </w:tcPr>
          <w:p w14:paraId="3CA690F6">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3FE5F5FD">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2696C94D">
            <w:pPr>
              <w:snapToGrid w:val="0"/>
              <w:jc w:val="center"/>
              <w:rPr>
                <w:rFonts w:hint="eastAsia" w:ascii="宋体" w:hAnsi="宋体" w:eastAsia="宋体" w:cs="Times New Roman"/>
                <w:szCs w:val="21"/>
              </w:rPr>
            </w:pPr>
          </w:p>
        </w:tc>
        <w:tc>
          <w:tcPr>
            <w:tcW w:w="1349" w:type="dxa"/>
            <w:tcBorders>
              <w:top w:val="single" w:color="auto" w:sz="4" w:space="0"/>
              <w:left w:val="single" w:color="auto" w:sz="4" w:space="0"/>
              <w:bottom w:val="nil"/>
              <w:right w:val="single" w:color="auto" w:sz="4" w:space="0"/>
            </w:tcBorders>
            <w:vAlign w:val="center"/>
          </w:tcPr>
          <w:p w14:paraId="6F0B126B">
            <w:pPr>
              <w:snapToGrid w:val="0"/>
              <w:jc w:val="center"/>
              <w:rPr>
                <w:rFonts w:hint="eastAsia" w:ascii="宋体" w:hAnsi="宋体" w:eastAsia="宋体" w:cs="Times New Roman"/>
                <w:szCs w:val="21"/>
              </w:rPr>
            </w:pPr>
          </w:p>
        </w:tc>
      </w:tr>
      <w:tr w14:paraId="18ACB7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7B2AD93A">
            <w:pPr>
              <w:snapToGrid w:val="0"/>
              <w:jc w:val="center"/>
              <w:rPr>
                <w:rFonts w:hint="eastAsia" w:ascii="宋体" w:hAnsi="宋体" w:eastAsia="宋体" w:cs="Times New Roman"/>
                <w:szCs w:val="21"/>
              </w:rPr>
            </w:pPr>
          </w:p>
        </w:tc>
        <w:tc>
          <w:tcPr>
            <w:tcW w:w="1574" w:type="dxa"/>
            <w:tcBorders>
              <w:top w:val="single" w:color="auto" w:sz="4" w:space="0"/>
              <w:left w:val="single" w:color="auto" w:sz="4" w:space="0"/>
              <w:bottom w:val="single" w:color="auto" w:sz="4" w:space="0"/>
              <w:right w:val="single" w:color="auto" w:sz="4" w:space="0"/>
            </w:tcBorders>
            <w:vAlign w:val="center"/>
          </w:tcPr>
          <w:p w14:paraId="1DEE2A14">
            <w:pPr>
              <w:snapToGrid w:val="0"/>
              <w:jc w:val="center"/>
              <w:rPr>
                <w:rFonts w:hint="eastAsia" w:ascii="宋体" w:hAnsi="宋体" w:eastAsia="宋体" w:cs="Times New Roman"/>
                <w:szCs w:val="21"/>
              </w:rPr>
            </w:pPr>
          </w:p>
        </w:tc>
        <w:tc>
          <w:tcPr>
            <w:tcW w:w="1360" w:type="dxa"/>
            <w:tcBorders>
              <w:top w:val="single" w:color="auto" w:sz="4" w:space="0"/>
              <w:left w:val="single" w:color="auto" w:sz="4" w:space="0"/>
              <w:bottom w:val="single" w:color="auto" w:sz="4" w:space="0"/>
              <w:right w:val="single" w:color="auto" w:sz="4" w:space="0"/>
            </w:tcBorders>
            <w:vAlign w:val="center"/>
          </w:tcPr>
          <w:p w14:paraId="0D0B0BA9">
            <w:pPr>
              <w:snapToGrid w:val="0"/>
              <w:jc w:val="center"/>
              <w:rPr>
                <w:rFonts w:hint="eastAsia" w:ascii="宋体" w:hAnsi="宋体" w:eastAsia="宋体" w:cs="Times New Roman"/>
                <w:szCs w:val="21"/>
              </w:rPr>
            </w:pPr>
          </w:p>
        </w:tc>
        <w:tc>
          <w:tcPr>
            <w:tcW w:w="1600" w:type="dxa"/>
            <w:tcBorders>
              <w:top w:val="single" w:color="auto" w:sz="4" w:space="0"/>
              <w:left w:val="single" w:color="auto" w:sz="4" w:space="0"/>
              <w:bottom w:val="single" w:color="auto" w:sz="4" w:space="0"/>
              <w:right w:val="single" w:color="auto" w:sz="4" w:space="0"/>
            </w:tcBorders>
            <w:vAlign w:val="center"/>
          </w:tcPr>
          <w:p w14:paraId="72A56319">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2CEF70A6">
            <w:pPr>
              <w:snapToGrid w:val="0"/>
              <w:jc w:val="center"/>
              <w:rPr>
                <w:rFonts w:hint="eastAsia" w:ascii="宋体" w:hAnsi="宋体" w:eastAsia="宋体" w:cs="Times New Roman"/>
                <w:szCs w:val="21"/>
              </w:rPr>
            </w:pPr>
          </w:p>
        </w:tc>
        <w:tc>
          <w:tcPr>
            <w:tcW w:w="1149" w:type="dxa"/>
            <w:tcBorders>
              <w:top w:val="single" w:color="auto" w:sz="4" w:space="0"/>
              <w:left w:val="single" w:color="auto" w:sz="4" w:space="0"/>
              <w:bottom w:val="single" w:color="auto" w:sz="4" w:space="0"/>
              <w:right w:val="single" w:color="auto" w:sz="4" w:space="0"/>
            </w:tcBorders>
            <w:vAlign w:val="center"/>
          </w:tcPr>
          <w:p w14:paraId="16B891C8">
            <w:pPr>
              <w:snapToGrid w:val="0"/>
              <w:jc w:val="center"/>
              <w:rPr>
                <w:rFonts w:hint="eastAsia" w:ascii="宋体" w:hAnsi="宋体" w:eastAsia="宋体" w:cs="Times New Roman"/>
                <w:szCs w:val="21"/>
              </w:rPr>
            </w:pPr>
          </w:p>
        </w:tc>
        <w:tc>
          <w:tcPr>
            <w:tcW w:w="1349" w:type="dxa"/>
            <w:tcBorders>
              <w:top w:val="single" w:color="auto" w:sz="4" w:space="0"/>
              <w:left w:val="single" w:color="auto" w:sz="4" w:space="0"/>
              <w:bottom w:val="nil"/>
              <w:right w:val="single" w:color="auto" w:sz="4" w:space="0"/>
            </w:tcBorders>
            <w:vAlign w:val="center"/>
          </w:tcPr>
          <w:p w14:paraId="234187BB">
            <w:pPr>
              <w:snapToGrid w:val="0"/>
              <w:jc w:val="center"/>
              <w:rPr>
                <w:rFonts w:hint="eastAsia" w:ascii="宋体" w:hAnsi="宋体" w:eastAsia="宋体" w:cs="Times New Roman"/>
                <w:szCs w:val="21"/>
              </w:rPr>
            </w:pPr>
          </w:p>
        </w:tc>
      </w:tr>
      <w:tr w14:paraId="3FB447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0E5C98BA">
            <w:pPr>
              <w:snapToGrid w:val="0"/>
              <w:jc w:val="center"/>
              <w:rPr>
                <w:rFonts w:hint="eastAsia" w:ascii="宋体" w:hAnsi="宋体" w:eastAsia="宋体" w:cs="Times New Roman"/>
                <w:szCs w:val="21"/>
              </w:rPr>
            </w:pPr>
            <w:r>
              <w:rPr>
                <w:rFonts w:hint="eastAsia" w:ascii="宋体" w:hAnsi="宋体" w:eastAsia="宋体" w:cs="仿宋_GB2312"/>
                <w:szCs w:val="21"/>
              </w:rPr>
              <w:t>…</w:t>
            </w:r>
          </w:p>
        </w:tc>
        <w:tc>
          <w:tcPr>
            <w:tcW w:w="1574" w:type="dxa"/>
            <w:tcBorders>
              <w:top w:val="single" w:color="auto" w:sz="4" w:space="0"/>
              <w:left w:val="single" w:color="auto" w:sz="4" w:space="0"/>
              <w:bottom w:val="single" w:color="auto" w:sz="4" w:space="0"/>
              <w:right w:val="single" w:color="auto" w:sz="4" w:space="0"/>
            </w:tcBorders>
            <w:vAlign w:val="center"/>
          </w:tcPr>
          <w:p w14:paraId="2DACD297">
            <w:pPr>
              <w:jc w:val="center"/>
              <w:rPr>
                <w:rFonts w:hint="eastAsia" w:ascii="宋体" w:hAnsi="宋体" w:eastAsia="宋体" w:cs="Times New Roman"/>
                <w:szCs w:val="21"/>
              </w:rPr>
            </w:pPr>
            <w:r>
              <w:rPr>
                <w:rFonts w:hint="eastAsia" w:ascii="宋体" w:hAnsi="宋体" w:eastAsia="宋体" w:cs="仿宋_GB2312"/>
                <w:szCs w:val="21"/>
              </w:rPr>
              <w:t>…</w:t>
            </w:r>
          </w:p>
        </w:tc>
        <w:tc>
          <w:tcPr>
            <w:tcW w:w="1360" w:type="dxa"/>
            <w:tcBorders>
              <w:top w:val="single" w:color="auto" w:sz="4" w:space="0"/>
              <w:left w:val="single" w:color="auto" w:sz="4" w:space="0"/>
              <w:bottom w:val="single" w:color="auto" w:sz="4" w:space="0"/>
              <w:right w:val="single" w:color="auto" w:sz="4" w:space="0"/>
            </w:tcBorders>
            <w:vAlign w:val="center"/>
          </w:tcPr>
          <w:p w14:paraId="61EFA3E9">
            <w:pPr>
              <w:jc w:val="center"/>
              <w:rPr>
                <w:rFonts w:hint="eastAsia" w:ascii="宋体" w:hAnsi="宋体" w:eastAsia="宋体" w:cs="Times New Roman"/>
                <w:szCs w:val="21"/>
              </w:rPr>
            </w:pPr>
            <w:r>
              <w:rPr>
                <w:rFonts w:hint="eastAsia" w:ascii="宋体" w:hAnsi="宋体" w:eastAsia="宋体" w:cs="仿宋_GB2312"/>
                <w:szCs w:val="21"/>
              </w:rPr>
              <w:t>…</w:t>
            </w:r>
          </w:p>
        </w:tc>
        <w:tc>
          <w:tcPr>
            <w:tcW w:w="1600" w:type="dxa"/>
            <w:tcBorders>
              <w:top w:val="single" w:color="auto" w:sz="4" w:space="0"/>
              <w:left w:val="single" w:color="auto" w:sz="4" w:space="0"/>
              <w:bottom w:val="single" w:color="auto" w:sz="4" w:space="0"/>
              <w:right w:val="single" w:color="auto" w:sz="4" w:space="0"/>
            </w:tcBorders>
            <w:vAlign w:val="center"/>
          </w:tcPr>
          <w:p w14:paraId="016EDC5B">
            <w:pPr>
              <w:jc w:val="center"/>
              <w:rPr>
                <w:rFonts w:hint="eastAsia" w:ascii="宋体" w:hAnsi="宋体" w:eastAsia="宋体" w:cs="Times New Roman"/>
                <w:szCs w:val="21"/>
              </w:rPr>
            </w:pPr>
            <w:r>
              <w:rPr>
                <w:rFonts w:hint="eastAsia" w:ascii="宋体" w:hAnsi="宋体" w:eastAsia="宋体" w:cs="仿宋_GB2312"/>
                <w:szCs w:val="21"/>
              </w:rPr>
              <w:t>…</w:t>
            </w:r>
          </w:p>
        </w:tc>
        <w:tc>
          <w:tcPr>
            <w:tcW w:w="1149" w:type="dxa"/>
            <w:tcBorders>
              <w:top w:val="single" w:color="auto" w:sz="4" w:space="0"/>
              <w:left w:val="single" w:color="auto" w:sz="4" w:space="0"/>
              <w:bottom w:val="single" w:color="auto" w:sz="4" w:space="0"/>
              <w:right w:val="single" w:color="auto" w:sz="4" w:space="0"/>
            </w:tcBorders>
            <w:vAlign w:val="center"/>
          </w:tcPr>
          <w:p w14:paraId="476B58A0">
            <w:pPr>
              <w:jc w:val="center"/>
              <w:rPr>
                <w:rFonts w:hint="eastAsia" w:ascii="宋体" w:hAnsi="宋体" w:eastAsia="宋体" w:cs="Times New Roman"/>
                <w:szCs w:val="21"/>
              </w:rPr>
            </w:pPr>
            <w:r>
              <w:rPr>
                <w:rFonts w:hint="eastAsia" w:ascii="宋体" w:hAnsi="宋体" w:eastAsia="宋体" w:cs="仿宋_GB2312"/>
                <w:szCs w:val="21"/>
              </w:rPr>
              <w:t>…</w:t>
            </w:r>
          </w:p>
        </w:tc>
        <w:tc>
          <w:tcPr>
            <w:tcW w:w="1149" w:type="dxa"/>
            <w:tcBorders>
              <w:top w:val="single" w:color="auto" w:sz="4" w:space="0"/>
              <w:left w:val="single" w:color="auto" w:sz="4" w:space="0"/>
              <w:bottom w:val="single" w:color="auto" w:sz="4" w:space="0"/>
              <w:right w:val="single" w:color="auto" w:sz="4" w:space="0"/>
            </w:tcBorders>
            <w:vAlign w:val="center"/>
          </w:tcPr>
          <w:p w14:paraId="4746073C">
            <w:pPr>
              <w:jc w:val="center"/>
              <w:rPr>
                <w:rFonts w:hint="eastAsia" w:ascii="宋体" w:hAnsi="宋体" w:eastAsia="宋体" w:cs="Times New Roman"/>
                <w:szCs w:val="21"/>
              </w:rPr>
            </w:pPr>
            <w:r>
              <w:rPr>
                <w:rFonts w:hint="eastAsia" w:ascii="宋体" w:hAnsi="宋体" w:eastAsia="宋体" w:cs="仿宋_GB2312"/>
                <w:szCs w:val="21"/>
              </w:rPr>
              <w:t>…</w:t>
            </w:r>
          </w:p>
        </w:tc>
        <w:tc>
          <w:tcPr>
            <w:tcW w:w="1349" w:type="dxa"/>
            <w:tcBorders>
              <w:top w:val="single" w:color="auto" w:sz="4" w:space="0"/>
              <w:left w:val="single" w:color="auto" w:sz="4" w:space="0"/>
              <w:bottom w:val="single" w:color="auto" w:sz="4" w:space="0"/>
              <w:right w:val="single" w:color="auto" w:sz="4" w:space="0"/>
            </w:tcBorders>
            <w:vAlign w:val="center"/>
          </w:tcPr>
          <w:p w14:paraId="7C0D7537">
            <w:pPr>
              <w:jc w:val="center"/>
              <w:rPr>
                <w:rFonts w:hint="eastAsia" w:ascii="宋体" w:hAnsi="宋体" w:eastAsia="宋体" w:cs="Times New Roman"/>
                <w:szCs w:val="21"/>
              </w:rPr>
            </w:pPr>
            <w:r>
              <w:rPr>
                <w:rFonts w:hint="eastAsia" w:ascii="宋体" w:hAnsi="宋体" w:eastAsia="宋体" w:cs="仿宋_GB2312"/>
                <w:szCs w:val="21"/>
              </w:rPr>
              <w:t>…</w:t>
            </w:r>
          </w:p>
        </w:tc>
      </w:tr>
    </w:tbl>
    <w:p w14:paraId="5EA911D9">
      <w:pPr>
        <w:rPr>
          <w:rFonts w:hint="eastAsia" w:ascii="宋体" w:hAnsi="宋体" w:eastAsia="宋体" w:cs="仿宋_GB2312"/>
          <w:szCs w:val="21"/>
        </w:rPr>
      </w:pPr>
      <w:r>
        <w:rPr>
          <w:rFonts w:hint="eastAsia" w:ascii="宋体" w:hAnsi="宋体" w:eastAsia="宋体" w:cs="仿宋_GB2312"/>
          <w:szCs w:val="21"/>
        </w:rPr>
        <w:t>注：1.本表格不得体现报价。</w:t>
      </w:r>
    </w:p>
    <w:p w14:paraId="1B40938A">
      <w:pPr>
        <w:rPr>
          <w:rFonts w:hint="eastAsia" w:ascii="宋体" w:hAnsi="宋体" w:eastAsia="宋体" w:cs="仿宋_GB2312"/>
          <w:szCs w:val="21"/>
        </w:rPr>
      </w:pPr>
    </w:p>
    <w:p w14:paraId="198B993A">
      <w:pPr>
        <w:rPr>
          <w:rFonts w:hint="eastAsia" w:ascii="宋体" w:hAnsi="宋体" w:eastAsia="宋体" w:cs="Times New Roman"/>
          <w:szCs w:val="21"/>
        </w:rPr>
      </w:pPr>
    </w:p>
    <w:p w14:paraId="32DEAB6A">
      <w:pPr>
        <w:rPr>
          <w:rFonts w:hint="eastAsia" w:ascii="宋体" w:hAnsi="宋体" w:eastAsia="宋体" w:cs="Times New Roman"/>
          <w:szCs w:val="21"/>
        </w:rPr>
      </w:pPr>
    </w:p>
    <w:p w14:paraId="4EBD6CD0">
      <w:pPr>
        <w:rPr>
          <w:rFonts w:hint="eastAsia" w:ascii="宋体" w:hAnsi="宋体" w:eastAsia="宋体" w:cs="Times New Roman"/>
          <w:szCs w:val="21"/>
        </w:rPr>
      </w:pPr>
      <w:r>
        <w:rPr>
          <w:rFonts w:hint="eastAsia" w:ascii="宋体" w:hAnsi="宋体" w:eastAsia="宋体" w:cs="Times New Roman"/>
          <w:szCs w:val="21"/>
        </w:rPr>
        <w:t>投标人名称（盖章）：日期：</w:t>
      </w:r>
    </w:p>
    <w:p w14:paraId="036A7828">
      <w:pPr>
        <w:snapToGrid w:val="0"/>
        <w:spacing w:before="50" w:after="156" w:afterLines="50"/>
        <w:jc w:val="left"/>
        <w:rPr>
          <w:rFonts w:hint="eastAsia" w:ascii="宋体" w:hAnsi="宋体" w:eastAsia="宋体" w:cs="Times New Roman"/>
          <w:b/>
          <w:sz w:val="24"/>
        </w:rPr>
      </w:pPr>
    </w:p>
    <w:p w14:paraId="6C64AEF7">
      <w:pPr>
        <w:snapToGrid w:val="0"/>
        <w:spacing w:before="50" w:after="156" w:afterLines="50"/>
        <w:jc w:val="left"/>
        <w:rPr>
          <w:rFonts w:hint="eastAsia" w:ascii="宋体" w:hAnsi="宋体" w:eastAsia="宋体" w:cs="Times New Roman"/>
          <w:b/>
          <w:sz w:val="24"/>
        </w:rPr>
      </w:pPr>
    </w:p>
    <w:p w14:paraId="6F338120">
      <w:pPr>
        <w:snapToGrid w:val="0"/>
        <w:spacing w:before="50" w:after="156" w:afterLines="50"/>
        <w:jc w:val="left"/>
        <w:rPr>
          <w:rFonts w:hint="eastAsia" w:ascii="宋体" w:hAnsi="宋体" w:eastAsia="宋体" w:cs="Times New Roman"/>
          <w:b/>
          <w:sz w:val="24"/>
        </w:rPr>
      </w:pPr>
    </w:p>
    <w:p w14:paraId="13DF3A2C">
      <w:pPr>
        <w:snapToGrid w:val="0"/>
        <w:spacing w:before="50" w:after="156" w:afterLines="50"/>
        <w:jc w:val="left"/>
        <w:rPr>
          <w:rFonts w:hint="eastAsia" w:ascii="宋体" w:hAnsi="宋体" w:eastAsia="宋体" w:cs="Times New Roman"/>
          <w:b/>
          <w:sz w:val="24"/>
        </w:rPr>
      </w:pPr>
    </w:p>
    <w:p w14:paraId="1A6E7229">
      <w:pPr>
        <w:snapToGrid w:val="0"/>
        <w:spacing w:before="50" w:after="156" w:afterLines="50"/>
        <w:jc w:val="left"/>
        <w:rPr>
          <w:rFonts w:hint="eastAsia" w:ascii="宋体" w:hAnsi="宋体" w:eastAsia="宋体" w:cs="Times New Roman"/>
          <w:b/>
          <w:sz w:val="24"/>
        </w:rPr>
      </w:pPr>
    </w:p>
    <w:p w14:paraId="6A0FBD03">
      <w:pPr>
        <w:snapToGrid w:val="0"/>
        <w:spacing w:before="50" w:after="156" w:afterLines="50"/>
        <w:jc w:val="left"/>
        <w:rPr>
          <w:rFonts w:hint="eastAsia" w:ascii="宋体" w:hAnsi="宋体" w:eastAsia="宋体" w:cs="Times New Roman"/>
          <w:b/>
          <w:sz w:val="24"/>
        </w:rPr>
      </w:pPr>
    </w:p>
    <w:p w14:paraId="59CB619D">
      <w:pPr>
        <w:snapToGrid w:val="0"/>
        <w:spacing w:before="50" w:after="156" w:afterLines="50"/>
        <w:jc w:val="left"/>
        <w:rPr>
          <w:rFonts w:hint="eastAsia" w:ascii="宋体" w:hAnsi="宋体" w:eastAsia="宋体" w:cs="Times New Roman"/>
          <w:b/>
          <w:sz w:val="24"/>
        </w:rPr>
      </w:pPr>
    </w:p>
    <w:p w14:paraId="128D8C5E">
      <w:pPr>
        <w:snapToGrid w:val="0"/>
        <w:spacing w:before="50" w:after="156" w:afterLines="50"/>
        <w:jc w:val="left"/>
        <w:rPr>
          <w:rFonts w:hint="eastAsia" w:ascii="宋体" w:hAnsi="宋体" w:eastAsia="宋体" w:cs="Times New Roman"/>
          <w:b/>
          <w:sz w:val="24"/>
        </w:rPr>
      </w:pPr>
    </w:p>
    <w:p w14:paraId="64B90868">
      <w:pPr>
        <w:snapToGrid w:val="0"/>
        <w:spacing w:before="50" w:after="156" w:afterLines="50"/>
        <w:jc w:val="left"/>
        <w:rPr>
          <w:rFonts w:hint="eastAsia" w:ascii="宋体" w:hAnsi="宋体" w:eastAsia="宋体" w:cs="Times New Roman"/>
          <w:b/>
          <w:sz w:val="24"/>
        </w:rPr>
      </w:pPr>
    </w:p>
    <w:p w14:paraId="44BB1CC8">
      <w:pPr>
        <w:snapToGrid w:val="0"/>
        <w:spacing w:before="50" w:after="156" w:afterLines="50"/>
        <w:jc w:val="left"/>
        <w:rPr>
          <w:rFonts w:hint="eastAsia" w:ascii="宋体" w:hAnsi="宋体" w:eastAsia="宋体" w:cs="Times New Roman"/>
          <w:b/>
          <w:sz w:val="24"/>
        </w:rPr>
      </w:pPr>
    </w:p>
    <w:p w14:paraId="579E2CF3">
      <w:pPr>
        <w:snapToGrid w:val="0"/>
        <w:spacing w:before="50" w:after="156" w:afterLines="50"/>
        <w:jc w:val="left"/>
        <w:rPr>
          <w:rFonts w:hint="eastAsia" w:ascii="宋体" w:hAnsi="宋体" w:eastAsia="宋体" w:cs="Times New Roman"/>
          <w:b/>
          <w:sz w:val="24"/>
        </w:rPr>
      </w:pPr>
    </w:p>
    <w:p w14:paraId="7AFC6941">
      <w:pPr>
        <w:snapToGrid w:val="0"/>
        <w:spacing w:before="50" w:after="156" w:afterLines="50"/>
        <w:jc w:val="left"/>
        <w:rPr>
          <w:rFonts w:hint="eastAsia" w:ascii="宋体" w:hAnsi="宋体" w:eastAsia="宋体" w:cs="Times New Roman"/>
          <w:b/>
          <w:sz w:val="24"/>
        </w:rPr>
      </w:pPr>
    </w:p>
    <w:p w14:paraId="44189EB7">
      <w:pPr>
        <w:pStyle w:val="18"/>
        <w:rPr>
          <w:rFonts w:hint="eastAsia"/>
        </w:rPr>
      </w:pPr>
    </w:p>
    <w:p w14:paraId="7B7D3178">
      <w:pPr>
        <w:snapToGrid w:val="0"/>
        <w:spacing w:before="50" w:after="156" w:afterLines="50"/>
        <w:jc w:val="left"/>
        <w:rPr>
          <w:rFonts w:hint="eastAsia" w:ascii="宋体" w:hAnsi="宋体" w:eastAsia="宋体" w:cs="Times New Roman"/>
          <w:b/>
          <w:sz w:val="24"/>
        </w:rPr>
      </w:pPr>
    </w:p>
    <w:p w14:paraId="268C0B76">
      <w:pPr>
        <w:snapToGrid w:val="0"/>
        <w:spacing w:before="50" w:after="156" w:afterLines="50"/>
        <w:jc w:val="center"/>
        <w:rPr>
          <w:rFonts w:hint="eastAsia" w:ascii="宋体" w:hAnsi="宋体" w:eastAsia="宋体" w:cs="Times New Roman"/>
          <w:b/>
          <w:sz w:val="30"/>
          <w:szCs w:val="30"/>
        </w:rPr>
      </w:pPr>
      <w:r>
        <w:rPr>
          <w:rFonts w:hint="eastAsia" w:ascii="宋体" w:hAnsi="宋体" w:eastAsia="宋体" w:cs="Times New Roman"/>
          <w:b/>
          <w:sz w:val="30"/>
          <w:szCs w:val="30"/>
        </w:rPr>
        <w:t>十二、技术响应表格式</w:t>
      </w:r>
    </w:p>
    <w:p w14:paraId="56DC2C90">
      <w:pPr>
        <w:rPr>
          <w:rFonts w:hint="eastAsia" w:ascii="宋体" w:hAnsi="宋体" w:eastAsia="宋体" w:cs="Times New Roman"/>
        </w:rPr>
      </w:pPr>
      <w:r>
        <w:rPr>
          <w:rFonts w:hint="eastAsia" w:ascii="宋体" w:hAnsi="宋体" w:eastAsia="宋体" w:cs="Times New Roman"/>
        </w:rPr>
        <w:t>项目名称：</w:t>
      </w:r>
    </w:p>
    <w:p w14:paraId="118292C1">
      <w:pPr>
        <w:snapToGrid w:val="0"/>
        <w:spacing w:line="360" w:lineRule="auto"/>
        <w:rPr>
          <w:rFonts w:ascii="宋体" w:hAnsi="Times New Roman" w:eastAsia="宋体" w:cs="Times New Roman"/>
        </w:rPr>
      </w:pPr>
      <w:r>
        <w:rPr>
          <w:rFonts w:hint="eastAsia" w:ascii="宋体" w:hAnsi="宋体" w:eastAsia="宋体" w:cs="Times New Roman"/>
        </w:rPr>
        <w:t>项目编号：</w:t>
      </w:r>
    </w:p>
    <w:tbl>
      <w:tblPr>
        <w:tblStyle w:val="61"/>
        <w:tblW w:w="901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68"/>
        <w:gridCol w:w="2280"/>
        <w:gridCol w:w="2040"/>
        <w:gridCol w:w="1604"/>
        <w:gridCol w:w="1423"/>
      </w:tblGrid>
      <w:tr w14:paraId="07A778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3948" w:type="dxa"/>
            <w:gridSpan w:val="2"/>
            <w:tcBorders>
              <w:top w:val="single" w:color="auto" w:sz="4" w:space="0"/>
              <w:left w:val="single" w:color="auto" w:sz="4" w:space="0"/>
              <w:bottom w:val="single" w:color="auto" w:sz="4" w:space="0"/>
              <w:right w:val="single" w:color="auto" w:sz="4" w:space="0"/>
            </w:tcBorders>
            <w:vAlign w:val="center"/>
          </w:tcPr>
          <w:p w14:paraId="0CAF0E60">
            <w:pPr>
              <w:snapToGrid w:val="0"/>
              <w:spacing w:after="295"/>
              <w:jc w:val="center"/>
              <w:outlineLvl w:val="0"/>
              <w:rPr>
                <w:rFonts w:hint="eastAsia" w:ascii="宋体" w:hAnsi="宋体" w:eastAsia="宋体" w:cs="Times New Roman"/>
                <w:sz w:val="24"/>
              </w:rPr>
            </w:pPr>
            <w:r>
              <w:rPr>
                <w:rFonts w:hint="eastAsia" w:ascii="宋体" w:hAnsi="宋体" w:eastAsia="宋体" w:cs="Times New Roman"/>
                <w:sz w:val="24"/>
              </w:rPr>
              <w:t>招标文件要求</w:t>
            </w:r>
          </w:p>
        </w:tc>
        <w:tc>
          <w:tcPr>
            <w:tcW w:w="3644" w:type="dxa"/>
            <w:gridSpan w:val="2"/>
            <w:tcBorders>
              <w:top w:val="single" w:color="auto" w:sz="4" w:space="0"/>
              <w:left w:val="single" w:color="auto" w:sz="4" w:space="0"/>
              <w:bottom w:val="single" w:color="auto" w:sz="4" w:space="0"/>
              <w:right w:val="single" w:color="auto" w:sz="4" w:space="0"/>
            </w:tcBorders>
            <w:vAlign w:val="center"/>
          </w:tcPr>
          <w:p w14:paraId="52FA9119">
            <w:pPr>
              <w:snapToGrid w:val="0"/>
              <w:spacing w:after="295"/>
              <w:jc w:val="center"/>
              <w:outlineLvl w:val="0"/>
              <w:rPr>
                <w:rFonts w:hint="eastAsia" w:ascii="宋体" w:hAnsi="宋体" w:eastAsia="宋体" w:cs="Times New Roman"/>
                <w:sz w:val="24"/>
              </w:rPr>
            </w:pPr>
            <w:r>
              <w:rPr>
                <w:rFonts w:hint="eastAsia" w:ascii="宋体" w:hAnsi="宋体" w:eastAsia="宋体" w:cs="Times New Roman"/>
                <w:sz w:val="24"/>
              </w:rPr>
              <w:t>投标文件响应</w:t>
            </w:r>
          </w:p>
        </w:tc>
        <w:tc>
          <w:tcPr>
            <w:tcW w:w="1423" w:type="dxa"/>
            <w:vMerge w:val="restart"/>
            <w:tcBorders>
              <w:top w:val="single" w:color="auto" w:sz="4" w:space="0"/>
              <w:left w:val="single" w:color="auto" w:sz="4" w:space="0"/>
              <w:bottom w:val="single" w:color="auto" w:sz="4" w:space="0"/>
              <w:right w:val="single" w:color="auto" w:sz="4" w:space="0"/>
            </w:tcBorders>
            <w:vAlign w:val="center"/>
          </w:tcPr>
          <w:p w14:paraId="12541E4A">
            <w:pPr>
              <w:snapToGrid w:val="0"/>
              <w:spacing w:after="295"/>
              <w:jc w:val="center"/>
              <w:outlineLvl w:val="0"/>
              <w:rPr>
                <w:rFonts w:hint="eastAsia" w:ascii="宋体" w:hAnsi="宋体" w:eastAsia="宋体" w:cs="Times New Roman"/>
                <w:sz w:val="24"/>
              </w:rPr>
            </w:pPr>
            <w:r>
              <w:rPr>
                <w:rFonts w:hint="eastAsia" w:ascii="宋体" w:hAnsi="宋体" w:eastAsia="宋体" w:cs="Times New Roman"/>
                <w:sz w:val="24"/>
              </w:rPr>
              <w:t>偏离情况</w:t>
            </w:r>
          </w:p>
        </w:tc>
      </w:tr>
      <w:tr w14:paraId="067D2B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1668" w:type="dxa"/>
            <w:tcBorders>
              <w:top w:val="single" w:color="auto" w:sz="4" w:space="0"/>
              <w:left w:val="single" w:color="auto" w:sz="4" w:space="0"/>
              <w:bottom w:val="single" w:color="auto" w:sz="4" w:space="0"/>
              <w:right w:val="single" w:color="auto" w:sz="4" w:space="0"/>
            </w:tcBorders>
            <w:vAlign w:val="center"/>
          </w:tcPr>
          <w:p w14:paraId="4F08C68E">
            <w:pPr>
              <w:snapToGrid w:val="0"/>
              <w:spacing w:after="295"/>
              <w:jc w:val="center"/>
              <w:outlineLvl w:val="0"/>
              <w:rPr>
                <w:rFonts w:hint="eastAsia" w:ascii="宋体" w:hAnsi="宋体" w:eastAsia="宋体" w:cs="Times New Roman"/>
                <w:sz w:val="24"/>
              </w:rPr>
            </w:pPr>
            <w:r>
              <w:rPr>
                <w:rFonts w:hint="eastAsia" w:ascii="宋体" w:hAnsi="宋体" w:eastAsia="宋体" w:cs="Times New Roman"/>
                <w:sz w:val="24"/>
              </w:rPr>
              <w:t>项目</w:t>
            </w:r>
          </w:p>
        </w:tc>
        <w:tc>
          <w:tcPr>
            <w:tcW w:w="2280" w:type="dxa"/>
            <w:tcBorders>
              <w:top w:val="single" w:color="auto" w:sz="4" w:space="0"/>
              <w:left w:val="single" w:color="auto" w:sz="4" w:space="0"/>
              <w:bottom w:val="single" w:color="auto" w:sz="4" w:space="0"/>
              <w:right w:val="single" w:color="auto" w:sz="4" w:space="0"/>
            </w:tcBorders>
            <w:vAlign w:val="center"/>
          </w:tcPr>
          <w:p w14:paraId="26B1FF45">
            <w:pPr>
              <w:snapToGrid w:val="0"/>
              <w:spacing w:after="295"/>
              <w:jc w:val="center"/>
              <w:outlineLvl w:val="0"/>
              <w:rPr>
                <w:rFonts w:hint="eastAsia" w:ascii="宋体" w:hAnsi="宋体" w:eastAsia="宋体" w:cs="Times New Roman"/>
                <w:sz w:val="24"/>
              </w:rPr>
            </w:pPr>
            <w:r>
              <w:rPr>
                <w:rFonts w:hint="eastAsia" w:ascii="宋体" w:hAnsi="宋体" w:eastAsia="宋体" w:cs="Times New Roman"/>
                <w:sz w:val="24"/>
              </w:rPr>
              <w:t>要求</w:t>
            </w:r>
          </w:p>
        </w:tc>
        <w:tc>
          <w:tcPr>
            <w:tcW w:w="2040" w:type="dxa"/>
            <w:tcBorders>
              <w:top w:val="single" w:color="auto" w:sz="4" w:space="0"/>
              <w:left w:val="single" w:color="auto" w:sz="4" w:space="0"/>
              <w:bottom w:val="single" w:color="auto" w:sz="4" w:space="0"/>
              <w:right w:val="single" w:color="auto" w:sz="4" w:space="0"/>
            </w:tcBorders>
            <w:vAlign w:val="center"/>
          </w:tcPr>
          <w:p w14:paraId="3ED65294">
            <w:pPr>
              <w:snapToGrid w:val="0"/>
              <w:spacing w:after="295"/>
              <w:jc w:val="center"/>
              <w:outlineLvl w:val="0"/>
              <w:rPr>
                <w:rFonts w:hint="eastAsia" w:ascii="宋体" w:hAnsi="宋体" w:eastAsia="宋体" w:cs="Times New Roman"/>
                <w:sz w:val="24"/>
              </w:rPr>
            </w:pPr>
            <w:r>
              <w:rPr>
                <w:rFonts w:hint="eastAsia" w:ascii="宋体" w:hAnsi="宋体" w:eastAsia="宋体" w:cs="Times New Roman"/>
                <w:sz w:val="24"/>
              </w:rPr>
              <w:t>项目</w:t>
            </w:r>
          </w:p>
        </w:tc>
        <w:tc>
          <w:tcPr>
            <w:tcW w:w="1604" w:type="dxa"/>
            <w:tcBorders>
              <w:top w:val="single" w:color="auto" w:sz="4" w:space="0"/>
              <w:left w:val="single" w:color="auto" w:sz="4" w:space="0"/>
              <w:bottom w:val="single" w:color="auto" w:sz="4" w:space="0"/>
              <w:right w:val="single" w:color="auto" w:sz="4" w:space="0"/>
            </w:tcBorders>
            <w:vAlign w:val="center"/>
          </w:tcPr>
          <w:p w14:paraId="66ED4F7B">
            <w:pPr>
              <w:snapToGrid w:val="0"/>
              <w:spacing w:after="295"/>
              <w:jc w:val="center"/>
              <w:outlineLvl w:val="0"/>
              <w:rPr>
                <w:rFonts w:hint="eastAsia" w:ascii="宋体" w:hAnsi="宋体" w:eastAsia="宋体" w:cs="Times New Roman"/>
                <w:sz w:val="24"/>
              </w:rPr>
            </w:pPr>
            <w:r>
              <w:rPr>
                <w:rFonts w:hint="eastAsia" w:ascii="宋体" w:hAnsi="宋体" w:eastAsia="宋体" w:cs="Times New Roman"/>
                <w:sz w:val="24"/>
              </w:rPr>
              <w:t>要求</w:t>
            </w:r>
          </w:p>
        </w:tc>
        <w:tc>
          <w:tcPr>
            <w:tcW w:w="1423" w:type="dxa"/>
            <w:vMerge w:val="continue"/>
            <w:tcBorders>
              <w:top w:val="single" w:color="auto" w:sz="4" w:space="0"/>
              <w:left w:val="single" w:color="auto" w:sz="4" w:space="0"/>
              <w:bottom w:val="single" w:color="auto" w:sz="4" w:space="0"/>
              <w:right w:val="single" w:color="auto" w:sz="4" w:space="0"/>
            </w:tcBorders>
            <w:vAlign w:val="center"/>
          </w:tcPr>
          <w:p w14:paraId="04220AF8">
            <w:pPr>
              <w:widowControl/>
              <w:jc w:val="left"/>
              <w:rPr>
                <w:rFonts w:hint="eastAsia" w:ascii="宋体" w:hAnsi="宋体" w:eastAsia="宋体" w:cs="Times New Roman"/>
                <w:sz w:val="24"/>
              </w:rPr>
            </w:pPr>
          </w:p>
        </w:tc>
      </w:tr>
      <w:tr w14:paraId="0EFCA6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1668" w:type="dxa"/>
            <w:tcBorders>
              <w:top w:val="single" w:color="auto" w:sz="4" w:space="0"/>
              <w:left w:val="single" w:color="auto" w:sz="4" w:space="0"/>
              <w:bottom w:val="single" w:color="auto" w:sz="4" w:space="0"/>
              <w:right w:val="single" w:color="auto" w:sz="4" w:space="0"/>
            </w:tcBorders>
            <w:vAlign w:val="center"/>
          </w:tcPr>
          <w:p w14:paraId="4828CC0C">
            <w:pPr>
              <w:snapToGrid w:val="0"/>
              <w:spacing w:after="295"/>
              <w:jc w:val="center"/>
              <w:outlineLvl w:val="0"/>
              <w:rPr>
                <w:rFonts w:hint="eastAsia" w:ascii="宋体" w:hAnsi="宋体" w:eastAsia="宋体" w:cs="Times New Roman"/>
                <w:sz w:val="24"/>
              </w:rPr>
            </w:pPr>
          </w:p>
        </w:tc>
        <w:tc>
          <w:tcPr>
            <w:tcW w:w="2280" w:type="dxa"/>
            <w:tcBorders>
              <w:top w:val="single" w:color="auto" w:sz="4" w:space="0"/>
              <w:left w:val="single" w:color="auto" w:sz="4" w:space="0"/>
              <w:bottom w:val="single" w:color="auto" w:sz="4" w:space="0"/>
              <w:right w:val="single" w:color="auto" w:sz="4" w:space="0"/>
            </w:tcBorders>
            <w:vAlign w:val="center"/>
          </w:tcPr>
          <w:p w14:paraId="46B5943B">
            <w:pPr>
              <w:snapToGrid w:val="0"/>
              <w:spacing w:after="295" w:line="120" w:lineRule="exact"/>
              <w:jc w:val="center"/>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vAlign w:val="center"/>
          </w:tcPr>
          <w:p w14:paraId="70CF3DE3">
            <w:pPr>
              <w:snapToGrid w:val="0"/>
              <w:spacing w:after="295" w:line="120" w:lineRule="exact"/>
              <w:jc w:val="center"/>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vAlign w:val="center"/>
          </w:tcPr>
          <w:p w14:paraId="67559681">
            <w:pPr>
              <w:snapToGrid w:val="0"/>
              <w:spacing w:after="295" w:line="120" w:lineRule="exact"/>
              <w:jc w:val="center"/>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vAlign w:val="center"/>
          </w:tcPr>
          <w:p w14:paraId="4899F0F8">
            <w:pPr>
              <w:snapToGrid w:val="0"/>
              <w:spacing w:after="295" w:line="120" w:lineRule="exact"/>
              <w:jc w:val="center"/>
              <w:outlineLvl w:val="0"/>
              <w:rPr>
                <w:rFonts w:hint="eastAsia" w:ascii="宋体" w:hAnsi="宋体" w:eastAsia="宋体" w:cs="Times New Roman"/>
                <w:sz w:val="24"/>
              </w:rPr>
            </w:pPr>
          </w:p>
        </w:tc>
      </w:tr>
      <w:tr w14:paraId="463CF2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68" w:type="dxa"/>
            <w:tcBorders>
              <w:top w:val="single" w:color="auto" w:sz="4" w:space="0"/>
              <w:left w:val="single" w:color="auto" w:sz="4" w:space="0"/>
              <w:bottom w:val="single" w:color="auto" w:sz="4" w:space="0"/>
              <w:right w:val="single" w:color="auto" w:sz="4" w:space="0"/>
            </w:tcBorders>
            <w:vAlign w:val="center"/>
          </w:tcPr>
          <w:p w14:paraId="052ABA34">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7BC39B57">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7B0E4A00">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1085A3F2">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0633E8A4">
            <w:pPr>
              <w:snapToGrid w:val="0"/>
              <w:spacing w:after="295" w:line="120" w:lineRule="exact"/>
              <w:outlineLvl w:val="0"/>
              <w:rPr>
                <w:rFonts w:hint="eastAsia" w:ascii="宋体" w:hAnsi="宋体" w:eastAsia="宋体" w:cs="Times New Roman"/>
                <w:sz w:val="24"/>
              </w:rPr>
            </w:pPr>
          </w:p>
        </w:tc>
      </w:tr>
      <w:tr w14:paraId="10B3D9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trPr>
        <w:tc>
          <w:tcPr>
            <w:tcW w:w="1668" w:type="dxa"/>
            <w:tcBorders>
              <w:top w:val="single" w:color="auto" w:sz="4" w:space="0"/>
              <w:left w:val="single" w:color="auto" w:sz="4" w:space="0"/>
              <w:bottom w:val="single" w:color="auto" w:sz="4" w:space="0"/>
              <w:right w:val="single" w:color="auto" w:sz="4" w:space="0"/>
            </w:tcBorders>
            <w:vAlign w:val="center"/>
          </w:tcPr>
          <w:p w14:paraId="1B0A8C9E">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2AEF81BB">
            <w:pPr>
              <w:snapToGrid w:val="0"/>
              <w:spacing w:after="295" w:line="120" w:lineRule="exact"/>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7657F23F">
            <w:pPr>
              <w:snapToGrid w:val="0"/>
              <w:spacing w:after="295" w:line="120" w:lineRule="exact"/>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59EBF7CF">
            <w:pPr>
              <w:snapToGrid w:val="0"/>
              <w:spacing w:after="295" w:line="120" w:lineRule="exact"/>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035A7121">
            <w:pPr>
              <w:snapToGrid w:val="0"/>
              <w:spacing w:after="295" w:line="120" w:lineRule="exact"/>
              <w:rPr>
                <w:rFonts w:hint="eastAsia" w:ascii="宋体" w:hAnsi="宋体" w:eastAsia="宋体" w:cs="Times New Roman"/>
                <w:sz w:val="24"/>
              </w:rPr>
            </w:pPr>
          </w:p>
        </w:tc>
      </w:tr>
      <w:tr w14:paraId="6BCDA3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3933E080">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294AFF5A">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431A56FA">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5AA439F1">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2EF3A64D">
            <w:pPr>
              <w:snapToGrid w:val="0"/>
              <w:spacing w:after="295" w:line="120" w:lineRule="exact"/>
              <w:outlineLvl w:val="0"/>
              <w:rPr>
                <w:rFonts w:hint="eastAsia" w:ascii="宋体" w:hAnsi="宋体" w:eastAsia="宋体" w:cs="Times New Roman"/>
                <w:sz w:val="24"/>
              </w:rPr>
            </w:pPr>
          </w:p>
        </w:tc>
      </w:tr>
      <w:tr w14:paraId="7FC968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198AC7D8">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2230A258">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1F8CAAEF">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44FE7271">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4099F3FB">
            <w:pPr>
              <w:snapToGrid w:val="0"/>
              <w:spacing w:after="295" w:line="120" w:lineRule="exact"/>
              <w:outlineLvl w:val="0"/>
              <w:rPr>
                <w:rFonts w:hint="eastAsia" w:ascii="宋体" w:hAnsi="宋体" w:eastAsia="宋体" w:cs="Times New Roman"/>
                <w:sz w:val="24"/>
              </w:rPr>
            </w:pPr>
          </w:p>
        </w:tc>
      </w:tr>
      <w:tr w14:paraId="1F3D22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648F1B7C">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796B8106">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7724BEA3">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3D8B0A93">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1BBC9DA7">
            <w:pPr>
              <w:snapToGrid w:val="0"/>
              <w:spacing w:after="295" w:line="120" w:lineRule="exact"/>
              <w:outlineLvl w:val="0"/>
              <w:rPr>
                <w:rFonts w:hint="eastAsia" w:ascii="宋体" w:hAnsi="宋体" w:eastAsia="宋体" w:cs="Times New Roman"/>
                <w:sz w:val="24"/>
              </w:rPr>
            </w:pPr>
          </w:p>
        </w:tc>
      </w:tr>
      <w:tr w14:paraId="50AA1C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7BCBC37C">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2DF7EFDB">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60923644">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2491FB18">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255B9757">
            <w:pPr>
              <w:snapToGrid w:val="0"/>
              <w:spacing w:after="295" w:line="120" w:lineRule="exact"/>
              <w:outlineLvl w:val="0"/>
              <w:rPr>
                <w:rFonts w:hint="eastAsia" w:ascii="宋体" w:hAnsi="宋体" w:eastAsia="宋体" w:cs="Times New Roman"/>
                <w:sz w:val="24"/>
              </w:rPr>
            </w:pPr>
          </w:p>
        </w:tc>
      </w:tr>
      <w:tr w14:paraId="024A2E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2D8CA09C">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5C3D972A">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544068C2">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1F77B660">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5356F3A5">
            <w:pPr>
              <w:snapToGrid w:val="0"/>
              <w:spacing w:after="295" w:line="120" w:lineRule="exact"/>
              <w:outlineLvl w:val="0"/>
              <w:rPr>
                <w:rFonts w:hint="eastAsia" w:ascii="宋体" w:hAnsi="宋体" w:eastAsia="宋体" w:cs="Times New Roman"/>
                <w:sz w:val="24"/>
              </w:rPr>
            </w:pPr>
          </w:p>
        </w:tc>
      </w:tr>
      <w:tr w14:paraId="1A3D9A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2D75D8AC">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106D01BF">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2DEF5BD1">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72542E72">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138FCB2F">
            <w:pPr>
              <w:snapToGrid w:val="0"/>
              <w:spacing w:after="295" w:line="120" w:lineRule="exact"/>
              <w:outlineLvl w:val="0"/>
              <w:rPr>
                <w:rFonts w:hint="eastAsia" w:ascii="宋体" w:hAnsi="宋体" w:eastAsia="宋体" w:cs="Times New Roman"/>
                <w:sz w:val="24"/>
              </w:rPr>
            </w:pPr>
          </w:p>
        </w:tc>
      </w:tr>
      <w:tr w14:paraId="743E74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4155A094">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43D1F27A">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22C75EAA">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0107EBB3">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22A4CC26">
            <w:pPr>
              <w:snapToGrid w:val="0"/>
              <w:spacing w:after="295" w:line="120" w:lineRule="exact"/>
              <w:outlineLvl w:val="0"/>
              <w:rPr>
                <w:rFonts w:hint="eastAsia" w:ascii="宋体" w:hAnsi="宋体" w:eastAsia="宋体" w:cs="Times New Roman"/>
                <w:sz w:val="24"/>
              </w:rPr>
            </w:pPr>
          </w:p>
        </w:tc>
      </w:tr>
      <w:tr w14:paraId="695B4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668" w:type="dxa"/>
            <w:tcBorders>
              <w:top w:val="single" w:color="auto" w:sz="4" w:space="0"/>
              <w:left w:val="single" w:color="auto" w:sz="4" w:space="0"/>
              <w:bottom w:val="single" w:color="auto" w:sz="4" w:space="0"/>
              <w:right w:val="single" w:color="auto" w:sz="4" w:space="0"/>
            </w:tcBorders>
            <w:vAlign w:val="center"/>
          </w:tcPr>
          <w:p w14:paraId="7930F2D8">
            <w:pPr>
              <w:rPr>
                <w:rFonts w:hint="eastAsia" w:ascii="宋体" w:hAnsi="宋体" w:eastAsia="宋体" w:cs="Times New Roman"/>
              </w:rPr>
            </w:pPr>
          </w:p>
        </w:tc>
        <w:tc>
          <w:tcPr>
            <w:tcW w:w="2280" w:type="dxa"/>
            <w:tcBorders>
              <w:top w:val="single" w:color="auto" w:sz="4" w:space="0"/>
              <w:left w:val="single" w:color="auto" w:sz="4" w:space="0"/>
              <w:bottom w:val="single" w:color="auto" w:sz="4" w:space="0"/>
              <w:right w:val="single" w:color="auto" w:sz="4" w:space="0"/>
            </w:tcBorders>
            <w:vAlign w:val="center"/>
          </w:tcPr>
          <w:p w14:paraId="29CF03DC">
            <w:pPr>
              <w:snapToGrid w:val="0"/>
              <w:spacing w:after="295" w:line="120" w:lineRule="exact"/>
              <w:outlineLvl w:val="0"/>
              <w:rPr>
                <w:rFonts w:hint="eastAsia" w:ascii="宋体" w:hAnsi="宋体" w:eastAsia="宋体" w:cs="Times New Roman"/>
                <w:sz w:val="24"/>
              </w:rPr>
            </w:pPr>
          </w:p>
        </w:tc>
        <w:tc>
          <w:tcPr>
            <w:tcW w:w="2040" w:type="dxa"/>
            <w:tcBorders>
              <w:top w:val="single" w:color="auto" w:sz="4" w:space="0"/>
              <w:left w:val="single" w:color="auto" w:sz="4" w:space="0"/>
              <w:bottom w:val="single" w:color="auto" w:sz="4" w:space="0"/>
              <w:right w:val="single" w:color="auto" w:sz="4" w:space="0"/>
            </w:tcBorders>
          </w:tcPr>
          <w:p w14:paraId="54648AEC">
            <w:pPr>
              <w:snapToGrid w:val="0"/>
              <w:spacing w:after="295" w:line="120" w:lineRule="exact"/>
              <w:outlineLvl w:val="0"/>
              <w:rPr>
                <w:rFonts w:hint="eastAsia" w:ascii="宋体" w:hAnsi="宋体" w:eastAsia="宋体" w:cs="Times New Roman"/>
                <w:sz w:val="24"/>
              </w:rPr>
            </w:pPr>
          </w:p>
        </w:tc>
        <w:tc>
          <w:tcPr>
            <w:tcW w:w="1604" w:type="dxa"/>
            <w:tcBorders>
              <w:top w:val="single" w:color="auto" w:sz="4" w:space="0"/>
              <w:left w:val="single" w:color="auto" w:sz="4" w:space="0"/>
              <w:bottom w:val="single" w:color="auto" w:sz="4" w:space="0"/>
              <w:right w:val="single" w:color="auto" w:sz="4" w:space="0"/>
            </w:tcBorders>
          </w:tcPr>
          <w:p w14:paraId="310D2664">
            <w:pPr>
              <w:snapToGrid w:val="0"/>
              <w:spacing w:after="295" w:line="120" w:lineRule="exact"/>
              <w:outlineLvl w:val="0"/>
              <w:rPr>
                <w:rFonts w:hint="eastAsia" w:ascii="宋体" w:hAnsi="宋体" w:eastAsia="宋体" w:cs="Times New Roman"/>
                <w:sz w:val="24"/>
              </w:rPr>
            </w:pPr>
          </w:p>
        </w:tc>
        <w:tc>
          <w:tcPr>
            <w:tcW w:w="1423" w:type="dxa"/>
            <w:tcBorders>
              <w:top w:val="single" w:color="auto" w:sz="4" w:space="0"/>
              <w:left w:val="single" w:color="auto" w:sz="4" w:space="0"/>
              <w:bottom w:val="single" w:color="auto" w:sz="4" w:space="0"/>
              <w:right w:val="single" w:color="auto" w:sz="4" w:space="0"/>
            </w:tcBorders>
          </w:tcPr>
          <w:p w14:paraId="019ACF04">
            <w:pPr>
              <w:snapToGrid w:val="0"/>
              <w:spacing w:after="295" w:line="120" w:lineRule="exact"/>
              <w:outlineLvl w:val="0"/>
              <w:rPr>
                <w:rFonts w:hint="eastAsia" w:ascii="宋体" w:hAnsi="宋体" w:eastAsia="宋体" w:cs="Times New Roman"/>
                <w:sz w:val="24"/>
              </w:rPr>
            </w:pPr>
          </w:p>
        </w:tc>
      </w:tr>
    </w:tbl>
    <w:p w14:paraId="3E6402A8">
      <w:pPr>
        <w:snapToGrid w:val="0"/>
        <w:spacing w:before="50" w:after="50"/>
        <w:rPr>
          <w:rFonts w:hint="eastAsia" w:ascii="宋体" w:hAnsi="宋体" w:eastAsia="宋体" w:cs="Times New Roman"/>
          <w:b/>
        </w:rPr>
      </w:pPr>
    </w:p>
    <w:p w14:paraId="33A4FB6B">
      <w:pPr>
        <w:snapToGrid w:val="0"/>
        <w:spacing w:before="50" w:after="50"/>
        <w:rPr>
          <w:rFonts w:hint="eastAsia" w:ascii="宋体" w:hAnsi="宋体" w:eastAsia="宋体" w:cs="Times New Roman"/>
          <w:b/>
          <w:spacing w:val="20"/>
          <w:sz w:val="24"/>
        </w:rPr>
      </w:pPr>
    </w:p>
    <w:p w14:paraId="654B2C13">
      <w:pPr>
        <w:snapToGrid w:val="0"/>
        <w:spacing w:before="50" w:after="50"/>
        <w:rPr>
          <w:rFonts w:hint="eastAsia" w:ascii="宋体" w:hAnsi="宋体" w:eastAsia="宋体" w:cs="Times New Roman"/>
        </w:rPr>
      </w:pPr>
    </w:p>
    <w:p w14:paraId="26269494">
      <w:pPr>
        <w:snapToGrid w:val="0"/>
        <w:ind w:left="2" w:right="-817" w:rightChars="-389"/>
        <w:rPr>
          <w:rFonts w:hint="eastAsia" w:ascii="宋体" w:hAnsi="宋体" w:eastAsia="宋体" w:cs="Times New Roman"/>
        </w:rPr>
      </w:pPr>
    </w:p>
    <w:p w14:paraId="1245A56B">
      <w:pPr>
        <w:snapToGrid w:val="0"/>
        <w:spacing w:before="50" w:after="50"/>
        <w:rPr>
          <w:rFonts w:hint="eastAsia" w:ascii="宋体" w:hAnsi="宋体" w:eastAsia="宋体" w:cs="Times New Roman"/>
          <w:sz w:val="24"/>
        </w:rPr>
      </w:pPr>
      <w:r>
        <w:rPr>
          <w:rFonts w:hint="eastAsia" w:ascii="宋体" w:hAnsi="宋体" w:eastAsia="宋体" w:cs="Times New Roman"/>
        </w:rPr>
        <w:t>投标人名称（盖章）：</w:t>
      </w:r>
      <w:r>
        <w:rPr>
          <w:rFonts w:hint="eastAsia" w:ascii="宋体" w:hAnsi="宋体" w:eastAsia="宋体" w:cs="Times New Roman"/>
          <w:spacing w:val="20"/>
        </w:rPr>
        <w:t>日期：</w:t>
      </w:r>
    </w:p>
    <w:p w14:paraId="1C25C0B4">
      <w:pPr>
        <w:snapToGrid w:val="0"/>
        <w:spacing w:before="50" w:after="156" w:afterLines="50"/>
        <w:jc w:val="left"/>
        <w:rPr>
          <w:rFonts w:hint="eastAsia" w:ascii="宋体" w:hAnsi="宋体" w:eastAsia="宋体" w:cs="Times New Roman"/>
          <w:b/>
          <w:sz w:val="24"/>
        </w:rPr>
      </w:pPr>
    </w:p>
    <w:p w14:paraId="577EC171">
      <w:pPr>
        <w:snapToGrid w:val="0"/>
        <w:spacing w:before="50" w:after="156" w:afterLines="50"/>
        <w:jc w:val="left"/>
        <w:rPr>
          <w:rFonts w:hint="eastAsia" w:ascii="宋体" w:hAnsi="宋体" w:eastAsia="宋体" w:cs="Times New Roman"/>
          <w:b/>
          <w:sz w:val="24"/>
        </w:rPr>
      </w:pPr>
    </w:p>
    <w:p w14:paraId="04342C46">
      <w:pPr>
        <w:rPr>
          <w:rFonts w:ascii="Calibri" w:hAnsi="Calibri" w:eastAsia="宋体" w:cs="Times New Roman"/>
        </w:rPr>
      </w:pPr>
    </w:p>
    <w:p w14:paraId="5D19189C">
      <w:pPr>
        <w:pStyle w:val="27"/>
        <w:ind w:firstLine="0" w:firstLineChars="0"/>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2OcuAe">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使用中文字体)">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Marlett">
    <w:panose1 w:val="00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lgerian">
    <w:panose1 w:val="04020705040A02060702"/>
    <w:charset w:val="00"/>
    <w:family w:val="decorative"/>
    <w:pitch w:val="default"/>
    <w:sig w:usb0="00000003" w:usb1="00000000" w:usb2="00000000" w:usb3="00000000" w:csb0="20000001" w:csb1="00000000"/>
  </w:font>
  <w:font w:name="Arial Narrow">
    <w:panose1 w:val="020B0606020202030204"/>
    <w:charset w:val="00"/>
    <w:family w:val="swiss"/>
    <w:pitch w:val="default"/>
    <w:sig w:usb0="00000287" w:usb1="00000800" w:usb2="00000000" w:usb3="00000000" w:csb0="2000009F" w:csb1="DFD70000"/>
  </w:font>
  <w:font w:name="华文中宋">
    <w:panose1 w:val="02010600040101010101"/>
    <w:charset w:val="86"/>
    <w:family w:val="auto"/>
    <w:pitch w:val="default"/>
    <w:sig w:usb0="00000287" w:usb1="080F0000" w:usb2="00000000" w:usb3="00000000" w:csb0="0004009F" w:csb1="DFD70000"/>
  </w:font>
  <w:font w:name="方正黑体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hiller">
    <w:panose1 w:val="04020404031007020602"/>
    <w:charset w:val="00"/>
    <w:family w:val="decorative"/>
    <w:pitch w:val="default"/>
    <w:sig w:usb0="00000003" w:usb1="00000000" w:usb2="00000000" w:usb3="00000000" w:csb0="20000001" w:csb1="00000000"/>
  </w:font>
  <w:font w:name="Arial Unicode MS">
    <w:altName w:val="宋体"/>
    <w:panose1 w:val="020B0604020202020204"/>
    <w:charset w:val="86"/>
    <w:family w:val="swiss"/>
    <w:pitch w:val="default"/>
    <w:sig w:usb0="00000000" w:usb1="00000000" w:usb2="0000003F" w:usb3="00000000" w:csb0="603F01FF" w:csb1="FFFF0000"/>
  </w:font>
  <w:font w:name="方正大黑简体">
    <w:altName w:val="黑体"/>
    <w:panose1 w:val="00000000000000000000"/>
    <w:charset w:val="86"/>
    <w:family w:val="auto"/>
    <w:pitch w:val="default"/>
    <w:sig w:usb0="00000000" w:usb1="00000000" w:usb2="00000010" w:usb3="00000000" w:csb0="00040000" w:csb1="00000000"/>
  </w:font>
  <w:font w:name="Century Gothic">
    <w:panose1 w:val="020B0502020202020204"/>
    <w:charset w:val="00"/>
    <w:family w:val="swiss"/>
    <w:pitch w:val="default"/>
    <w:sig w:usb0="00000287" w:usb1="00000000" w:usb2="00000000" w:usb3="00000000" w:csb0="2000009F" w:csb1="DFD70000"/>
  </w:font>
  <w:font w:name="???">
    <w:altName w:val="微软雅黑"/>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0" w:csb1="00000000"/>
  </w:font>
  <w:font w:name="Stone Sans">
    <w:altName w:val="宋体"/>
    <w:panose1 w:val="00000000000000000000"/>
    <w:charset w:val="86"/>
    <w:family w:val="auto"/>
    <w:pitch w:val="default"/>
    <w:sig w:usb0="00000000" w:usb1="00000000" w:usb2="00000010" w:usb3="00000000" w:csb0="00040000" w:csb1="00000000"/>
  </w:font>
  <w:font w:name="華康細圓體">
    <w:altName w:val="Microsoft JhengHei"/>
    <w:panose1 w:val="00000000000000000000"/>
    <w:charset w:val="88"/>
    <w:family w:val="auto"/>
    <w:pitch w:val="default"/>
    <w:sig w:usb0="00000000" w:usb1="00000000" w:usb2="00000010" w:usb3="00000000" w:csb0="00100000" w:csb1="00000000"/>
  </w:font>
  <w:font w:name="Microsoft JhengHei">
    <w:panose1 w:val="020B0604030504040204"/>
    <w:charset w:val="88"/>
    <w:family w:val="auto"/>
    <w:pitch w:val="default"/>
    <w:sig w:usb0="000002A7" w:usb1="28CF4400" w:usb2="00000016" w:usb3="00000000" w:csb0="00100009" w:csb1="00000000"/>
  </w:font>
  <w:font w:name="文鼎粗黑">
    <w:altName w:val="黑体"/>
    <w:panose1 w:val="00000000000000000000"/>
    <w:charset w:val="86"/>
    <w:family w:val="auto"/>
    <w:pitch w:val="default"/>
    <w:sig w:usb0="00000000" w:usb1="00000000" w:usb2="00000010" w:usb3="00000000" w:csb0="00040000" w:csb1="00000000"/>
  </w:font>
  <w:font w:name="H Yg 2gj">
    <w:altName w:val="宋体"/>
    <w:panose1 w:val="00000000000000000000"/>
    <w:charset w:val="86"/>
    <w:family w:val="swiss"/>
    <w:pitch w:val="default"/>
    <w:sig w:usb0="00000000" w:usb1="00000000" w:usb2="0000001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P Simplified Hans Light">
    <w:altName w:val="宋体"/>
    <w:panose1 w:val="00000000000000000000"/>
    <w:charset w:val="86"/>
    <w:family w:val="swiss"/>
    <w:pitch w:val="default"/>
    <w:sig w:usb0="00000000" w:usb1="00000000" w:usb2="00000010" w:usb3="00000000" w:csb0="00040000" w:csb1="00000000"/>
  </w:font>
  <w:font w:name="華康粗圓體">
    <w:altName w:val="Microsoft JhengHei"/>
    <w:panose1 w:val="00000000000000000000"/>
    <w:charset w:val="88"/>
    <w:family w:val="auto"/>
    <w:pitch w:val="default"/>
    <w:sig w:usb0="00000000" w:usb1="00000000" w:usb2="00000010" w:usb3="00000000" w:csb0="00100000" w:csb1="00000000"/>
  </w:font>
  <w:font w:name="Calibri Light">
    <w:panose1 w:val="020F0302020204030204"/>
    <w:charset w:val="00"/>
    <w:family w:val="swiss"/>
    <w:pitch w:val="default"/>
    <w:sig w:usb0="E4002EFF" w:usb1="C0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创艺简标宋">
    <w:altName w:val="黑体"/>
    <w:panose1 w:val="00000000000000000000"/>
    <w:charset w:val="86"/>
    <w:family w:val="auto"/>
    <w:pitch w:val="default"/>
    <w:sig w:usb0="00000000" w:usb1="00000000" w:usb2="00000010" w:usb3="00000000" w:csb0="00040000" w:csb1="00000000"/>
  </w:font>
  <w:font w:name="MS UI Gothic">
    <w:panose1 w:val="020B0600070205080204"/>
    <w:charset w:val="80"/>
    <w:family w:val="swiss"/>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3963315"/>
    </w:sdtPr>
    <w:sdtContent>
      <w:p w14:paraId="70023633">
        <w:pPr>
          <w:pStyle w:val="45"/>
          <w:ind w:left="5250"/>
          <w:jc w:val="right"/>
          <w:rPr>
            <w:rFonts w:hint="eastAsia"/>
          </w:rPr>
        </w:pPr>
        <w:r>
          <w:fldChar w:fldCharType="begin"/>
        </w:r>
        <w:r>
          <w:instrText xml:space="preserve">PAGE   \* MERGEFORMAT</w:instrText>
        </w:r>
        <w:r>
          <w:fldChar w:fldCharType="separate"/>
        </w:r>
        <w:r>
          <w:rPr>
            <w:lang w:val="zh-CN"/>
          </w:rPr>
          <w:t>21</w:t>
        </w:r>
        <w:r>
          <w:fldChar w:fldCharType="end"/>
        </w:r>
      </w:p>
    </w:sdtContent>
  </w:sdt>
  <w:p w14:paraId="79803050">
    <w:pPr>
      <w:pStyle w:val="45"/>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E0689">
    <w:pPr>
      <w:pStyle w:val="46"/>
      <w:pBdr>
        <w:bottom w:val="none" w:color="auto" w:sz="0" w:space="0"/>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31AAA6"/>
    <w:multiLevelType w:val="singleLevel"/>
    <w:tmpl w:val="A331AAA6"/>
    <w:lvl w:ilvl="0" w:tentative="0">
      <w:start w:val="3"/>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pStyle w:val="28"/>
      <w:lvlText w:val="%1."/>
      <w:lvlJc w:val="left"/>
      <w:pPr>
        <w:tabs>
          <w:tab w:val="left" w:pos="360"/>
        </w:tabs>
        <w:ind w:left="360" w:hanging="360"/>
      </w:pPr>
      <w:rPr>
        <w:rFonts w:cs="Times New Roman"/>
      </w:rPr>
    </w:lvl>
  </w:abstractNum>
  <w:abstractNum w:abstractNumId="2">
    <w:nsid w:val="00000002"/>
    <w:multiLevelType w:val="singleLevel"/>
    <w:tmpl w:val="00000002"/>
    <w:lvl w:ilvl="0" w:tentative="0">
      <w:start w:val="1"/>
      <w:numFmt w:val="bullet"/>
      <w:pStyle w:val="128"/>
      <w:lvlText w:val=""/>
      <w:lvlJc w:val="left"/>
      <w:pPr>
        <w:tabs>
          <w:tab w:val="left" w:pos="360"/>
        </w:tabs>
        <w:ind w:left="360" w:hanging="360"/>
      </w:pPr>
      <w:rPr>
        <w:rFonts w:hint="default" w:ascii="Wingdings" w:hAnsi="Wingdings"/>
      </w:rPr>
    </w:lvl>
  </w:abstractNum>
  <w:abstractNum w:abstractNumId="3">
    <w:nsid w:val="00000003"/>
    <w:multiLevelType w:val="multilevel"/>
    <w:tmpl w:val="00000003"/>
    <w:lvl w:ilvl="0" w:tentative="0">
      <w:start w:val="1"/>
      <w:numFmt w:val="japaneseCounting"/>
      <w:lvlText w:val="（%1）"/>
      <w:lvlJc w:val="left"/>
      <w:pPr>
        <w:tabs>
          <w:tab w:val="left" w:pos="735"/>
        </w:tabs>
        <w:ind w:left="735" w:hanging="735"/>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09"/>
    <w:multiLevelType w:val="multilevel"/>
    <w:tmpl w:val="00000009"/>
    <w:lvl w:ilvl="0" w:tentative="0">
      <w:start w:val="1"/>
      <w:numFmt w:val="japaneseCounting"/>
      <w:pStyle w:val="404"/>
      <w:suff w:val="nothing"/>
      <w:lvlText w:val="%1、"/>
      <w:lvlJc w:val="left"/>
      <w:pPr>
        <w:ind w:left="0" w:firstLine="0"/>
      </w:pPr>
      <w:rPr>
        <w:rFonts w:hint="eastAsia" w:ascii="宋体" w:eastAsia="宋体"/>
        <w:b/>
        <w:i w:val="0"/>
        <w:sz w:val="28"/>
      </w:rPr>
    </w:lvl>
    <w:lvl w:ilvl="1" w:tentative="0">
      <w:start w:val="1"/>
      <w:numFmt w:val="japaneseCounting"/>
      <w:pStyle w:val="402"/>
      <w:suff w:val="nothing"/>
      <w:lvlText w:val="（%2）"/>
      <w:lvlJc w:val="left"/>
      <w:pPr>
        <w:ind w:left="0" w:firstLine="0"/>
      </w:pPr>
      <w:rPr>
        <w:rFonts w:hint="eastAsia" w:ascii="宋体" w:eastAsia="宋体"/>
        <w:b/>
        <w:i w:val="0"/>
        <w:sz w:val="24"/>
      </w:rPr>
    </w:lvl>
    <w:lvl w:ilvl="2" w:tentative="0">
      <w:start w:val="1"/>
      <w:numFmt w:val="decimal"/>
      <w:pStyle w:val="400"/>
      <w:lvlText w:val="%1.%2.%3"/>
      <w:lvlJc w:val="left"/>
      <w:pPr>
        <w:ind w:left="0" w:firstLine="0"/>
      </w:pPr>
      <w:rPr>
        <w:rFonts w:hint="eastAsia" w:ascii="宋体" w:eastAsia="宋体"/>
        <w:b/>
        <w:i w:val="0"/>
        <w:sz w:val="24"/>
      </w:rPr>
    </w:lvl>
    <w:lvl w:ilvl="3" w:tentative="0">
      <w:start w:val="1"/>
      <w:numFmt w:val="decimal"/>
      <w:pStyle w:val="399"/>
      <w:lvlText w:val="%1.%2.%3.%4"/>
      <w:lvlJc w:val="left"/>
      <w:pPr>
        <w:ind w:left="0" w:firstLine="0"/>
      </w:pPr>
      <w:rPr>
        <w:rFonts w:hint="eastAsia" w:ascii="宋体" w:eastAsia="宋体"/>
        <w:b/>
        <w:i w:val="0"/>
        <w:sz w:val="21"/>
      </w:rPr>
    </w:lvl>
    <w:lvl w:ilvl="4" w:tentative="0">
      <w:start w:val="1"/>
      <w:numFmt w:val="lowerLetter"/>
      <w:pStyle w:val="708"/>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5">
    <w:nsid w:val="0000000A"/>
    <w:multiLevelType w:val="multilevel"/>
    <w:tmpl w:val="0000000A"/>
    <w:lvl w:ilvl="0" w:tentative="0">
      <w:start w:val="1"/>
      <w:numFmt w:val="decimal"/>
      <w:pStyle w:val="376"/>
      <w:suff w:val="space"/>
      <w:lvlText w:val="%1."/>
      <w:lvlJc w:val="left"/>
      <w:pPr>
        <w:ind w:left="0" w:firstLine="403"/>
      </w:pPr>
      <w:rPr>
        <w:rFonts w:hint="eastAsia" w:ascii="宋体" w:eastAsia="宋体"/>
        <w:b/>
        <w:i w:val="0"/>
        <w:caps w:val="0"/>
        <w:snapToGrid/>
        <w:vanish w:val="0"/>
        <w:color w:val="000000"/>
        <w:spacing w:val="0"/>
        <w:w w:val="100"/>
        <w:kern w:val="0"/>
        <w:position w:val="0"/>
        <w:sz w:val="21"/>
        <w:u w:val="none"/>
        <w:vertAlign w:val="baseline"/>
      </w:rPr>
    </w:lvl>
    <w:lvl w:ilvl="1" w:tentative="0">
      <w:start w:val="1"/>
      <w:numFmt w:val="decimal"/>
      <w:suff w:val="space"/>
      <w:lvlText w:val="%1.%2"/>
      <w:lvlJc w:val="left"/>
      <w:pPr>
        <w:ind w:left="0" w:firstLine="403"/>
      </w:pPr>
      <w:rPr>
        <w:rFonts w:hint="eastAsia" w:ascii="宋体" w:eastAsia="宋体"/>
        <w:b w:val="0"/>
        <w:i w:val="0"/>
        <w:caps w:val="0"/>
        <w:vanish w:val="0"/>
        <w:color w:val="000000"/>
        <w:sz w:val="21"/>
        <w:vertAlign w:val="baseline"/>
      </w:rPr>
    </w:lvl>
    <w:lvl w:ilvl="2" w:tentative="0">
      <w:start w:val="1"/>
      <w:numFmt w:val="decimal"/>
      <w:pStyle w:val="662"/>
      <w:suff w:val="nothing"/>
      <w:lvlText w:val="%1.%2.%3"/>
      <w:lvlJc w:val="left"/>
      <w:pPr>
        <w:ind w:left="0" w:firstLine="400"/>
      </w:pPr>
      <w:rPr>
        <w:rFonts w:hint="eastAsia" w:ascii="宋体" w:eastAsia="宋体"/>
        <w:b w:val="0"/>
        <w:i w:val="0"/>
        <w:sz w:val="21"/>
      </w:rPr>
    </w:lvl>
    <w:lvl w:ilvl="3" w:tentative="0">
      <w:start w:val="1"/>
      <w:numFmt w:val="decimal"/>
      <w:suff w:val="nothing"/>
      <w:lvlText w:val="%1.%2.%3.%4"/>
      <w:lvlJc w:val="left"/>
      <w:pPr>
        <w:ind w:left="0" w:firstLine="403"/>
      </w:pPr>
      <w:rPr>
        <w:rFonts w:hint="eastAsia"/>
      </w:rPr>
    </w:lvl>
    <w:lvl w:ilvl="4" w:tentative="0">
      <w:start w:val="1"/>
      <w:numFmt w:val="decimal"/>
      <w:suff w:val="nothing"/>
      <w:lvlText w:val="%1.%2.%3.%4.%5"/>
      <w:lvlJc w:val="left"/>
      <w:pPr>
        <w:ind w:left="0" w:firstLine="403"/>
      </w:pPr>
      <w:rPr>
        <w:rFonts w:hint="eastAsia"/>
      </w:rPr>
    </w:lvl>
    <w:lvl w:ilvl="5" w:tentative="0">
      <w:start w:val="1"/>
      <w:numFmt w:val="decimal"/>
      <w:suff w:val="nothing"/>
      <w:lvlText w:val="%1.%2.%3.%4.%5.%6"/>
      <w:lvlJc w:val="left"/>
      <w:pPr>
        <w:ind w:left="0" w:firstLine="403"/>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0000000B"/>
    <w:multiLevelType w:val="multilevel"/>
    <w:tmpl w:val="0000000B"/>
    <w:lvl w:ilvl="0" w:tentative="0">
      <w:start w:val="1"/>
      <w:numFmt w:val="japaneseCounting"/>
      <w:lvlText w:val="第%1章"/>
      <w:lvlJc w:val="left"/>
      <w:pPr>
        <w:tabs>
          <w:tab w:val="left" w:pos="1440"/>
        </w:tabs>
        <w:ind w:left="1440" w:hanging="1275"/>
      </w:pPr>
    </w:lvl>
    <w:lvl w:ilvl="1" w:tentative="0">
      <w:start w:val="1"/>
      <w:numFmt w:val="japaneseCounting"/>
      <w:lvlText w:val="%2、"/>
      <w:lvlJc w:val="left"/>
      <w:pPr>
        <w:tabs>
          <w:tab w:val="left" w:pos="1305"/>
        </w:tabs>
        <w:ind w:left="1305" w:hanging="720"/>
      </w:pPr>
    </w:lvl>
    <w:lvl w:ilvl="2" w:tentative="0">
      <w:start w:val="1"/>
      <w:numFmt w:val="lowerRoman"/>
      <w:lvlText w:val="%3."/>
      <w:lvlJc w:val="right"/>
      <w:pPr>
        <w:tabs>
          <w:tab w:val="left" w:pos="1425"/>
        </w:tabs>
        <w:ind w:left="1425" w:hanging="420"/>
      </w:pPr>
    </w:lvl>
    <w:lvl w:ilvl="3" w:tentative="0">
      <w:start w:val="1"/>
      <w:numFmt w:val="decimal"/>
      <w:lvlText w:val="%4."/>
      <w:lvlJc w:val="left"/>
      <w:pPr>
        <w:tabs>
          <w:tab w:val="left" w:pos="1845"/>
        </w:tabs>
        <w:ind w:left="1845" w:hanging="420"/>
      </w:pPr>
    </w:lvl>
    <w:lvl w:ilvl="4" w:tentative="0">
      <w:start w:val="1"/>
      <w:numFmt w:val="lowerLetter"/>
      <w:lvlText w:val="%5)"/>
      <w:lvlJc w:val="left"/>
      <w:pPr>
        <w:tabs>
          <w:tab w:val="left" w:pos="2265"/>
        </w:tabs>
        <w:ind w:left="2265" w:hanging="420"/>
      </w:pPr>
    </w:lvl>
    <w:lvl w:ilvl="5" w:tentative="0">
      <w:start w:val="1"/>
      <w:numFmt w:val="lowerRoman"/>
      <w:lvlText w:val="%6."/>
      <w:lvlJc w:val="right"/>
      <w:pPr>
        <w:tabs>
          <w:tab w:val="left" w:pos="2685"/>
        </w:tabs>
        <w:ind w:left="2685" w:hanging="420"/>
      </w:pPr>
    </w:lvl>
    <w:lvl w:ilvl="6" w:tentative="0">
      <w:start w:val="1"/>
      <w:numFmt w:val="decimal"/>
      <w:lvlText w:val="%7."/>
      <w:lvlJc w:val="left"/>
      <w:pPr>
        <w:tabs>
          <w:tab w:val="left" w:pos="3105"/>
        </w:tabs>
        <w:ind w:left="3105" w:hanging="420"/>
      </w:pPr>
    </w:lvl>
    <w:lvl w:ilvl="7" w:tentative="0">
      <w:start w:val="1"/>
      <w:numFmt w:val="lowerLetter"/>
      <w:lvlText w:val="%8)"/>
      <w:lvlJc w:val="left"/>
      <w:pPr>
        <w:tabs>
          <w:tab w:val="left" w:pos="3525"/>
        </w:tabs>
        <w:ind w:left="3525" w:hanging="420"/>
      </w:pPr>
    </w:lvl>
    <w:lvl w:ilvl="8" w:tentative="0">
      <w:start w:val="1"/>
      <w:numFmt w:val="lowerRoman"/>
      <w:lvlText w:val="%9."/>
      <w:lvlJc w:val="right"/>
      <w:pPr>
        <w:tabs>
          <w:tab w:val="left" w:pos="3945"/>
        </w:tabs>
        <w:ind w:left="3945" w:hanging="420"/>
      </w:pPr>
    </w:lvl>
  </w:abstractNum>
  <w:abstractNum w:abstractNumId="7">
    <w:nsid w:val="0AADC6A9"/>
    <w:multiLevelType w:val="singleLevel"/>
    <w:tmpl w:val="0AADC6A9"/>
    <w:lvl w:ilvl="0" w:tentative="0">
      <w:start w:val="2"/>
      <w:numFmt w:val="chineseCounting"/>
      <w:suff w:val="space"/>
      <w:lvlText w:val="第%1章"/>
      <w:lvlJc w:val="left"/>
      <w:rPr>
        <w:rFonts w:hint="eastAsia"/>
      </w:rPr>
    </w:lvl>
  </w:abstractNum>
  <w:abstractNum w:abstractNumId="8">
    <w:nsid w:val="0C34DE15"/>
    <w:multiLevelType w:val="singleLevel"/>
    <w:tmpl w:val="0C34DE15"/>
    <w:lvl w:ilvl="0" w:tentative="0">
      <w:start w:val="1"/>
      <w:numFmt w:val="decimal"/>
      <w:lvlText w:val="%1."/>
      <w:lvlJc w:val="left"/>
      <w:pPr>
        <w:tabs>
          <w:tab w:val="left" w:pos="312"/>
        </w:tabs>
      </w:pPr>
    </w:lvl>
  </w:abstractNum>
  <w:abstractNum w:abstractNumId="9">
    <w:nsid w:val="225A8346"/>
    <w:multiLevelType w:val="singleLevel"/>
    <w:tmpl w:val="225A8346"/>
    <w:lvl w:ilvl="0" w:tentative="0">
      <w:start w:val="1"/>
      <w:numFmt w:val="decimal"/>
      <w:lvlText w:val="%1."/>
      <w:lvlJc w:val="left"/>
      <w:pPr>
        <w:tabs>
          <w:tab w:val="left" w:pos="312"/>
        </w:tabs>
      </w:pPr>
    </w:lvl>
  </w:abstractNum>
  <w:abstractNum w:abstractNumId="10">
    <w:nsid w:val="2811445A"/>
    <w:multiLevelType w:val="multilevel"/>
    <w:tmpl w:val="2811445A"/>
    <w:lvl w:ilvl="0" w:tentative="0">
      <w:start w:val="1"/>
      <w:numFmt w:val="decimalEnclosedCircle"/>
      <w:pStyle w:val="144"/>
      <w:lvlText w:val="%1"/>
      <w:lvlJc w:val="left"/>
      <w:pPr>
        <w:tabs>
          <w:tab w:val="left" w:pos="840"/>
        </w:tabs>
        <w:ind w:left="840" w:hanging="360"/>
      </w:pPr>
      <w:rPr>
        <w:rFonts w:hint="eastAsia" w:ascii="宋体" w:hAnsi="宋体" w:eastAsia="Times New Roman" w:cs="Times New Roman"/>
      </w:rPr>
    </w:lvl>
    <w:lvl w:ilvl="1" w:tentative="0">
      <w:start w:val="1"/>
      <w:numFmt w:val="lowerLetter"/>
      <w:lvlText w:val="%2)"/>
      <w:lvlJc w:val="left"/>
      <w:pPr>
        <w:tabs>
          <w:tab w:val="left" w:pos="1320"/>
        </w:tabs>
        <w:ind w:left="1320" w:hanging="420"/>
      </w:pPr>
      <w:rPr>
        <w:rFonts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abstractNum w:abstractNumId="11">
    <w:nsid w:val="4DD4552D"/>
    <w:multiLevelType w:val="singleLevel"/>
    <w:tmpl w:val="4DD4552D"/>
    <w:lvl w:ilvl="0" w:tentative="0">
      <w:start w:val="1"/>
      <w:numFmt w:val="decimal"/>
      <w:lvlText w:val="%1."/>
      <w:lvlJc w:val="left"/>
      <w:pPr>
        <w:tabs>
          <w:tab w:val="left" w:pos="312"/>
        </w:tabs>
      </w:pPr>
    </w:lvl>
  </w:abstractNum>
  <w:abstractNum w:abstractNumId="12">
    <w:nsid w:val="6A5C2BDB"/>
    <w:multiLevelType w:val="multilevel"/>
    <w:tmpl w:val="6A5C2BDB"/>
    <w:lvl w:ilvl="0" w:tentative="0">
      <w:start w:val="2"/>
      <w:numFmt w:val="japaneseCounting"/>
      <w:lvlText w:val="（%1）"/>
      <w:lvlJc w:val="left"/>
      <w:pPr>
        <w:ind w:left="1140" w:hanging="7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lvlOverride w:ilvl="0">
      <w:startOverride w:val="1"/>
    </w:lvlOverride>
  </w:num>
  <w:num w:numId="2">
    <w:abstractNumId w:val="2"/>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4"/>
  </w:num>
  <w:num w:numId="6">
    <w:abstractNumId w:val="6"/>
    <w:lvlOverride w:ilvl="0">
      <w:startOverride w:val="1"/>
    </w:lvlOverride>
  </w:num>
  <w:num w:numId="7">
    <w:abstractNumId w:val="6"/>
  </w:num>
  <w:num w:numId="8">
    <w:abstractNumId w:val="7"/>
  </w:num>
  <w:num w:numId="9">
    <w:abstractNumId w:val="0"/>
  </w:num>
  <w:num w:numId="10">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lZDNiNjc4N2Y5YzJiNWY0NjQxMTBmZmRlYWU5ZTMifQ=="/>
  </w:docVars>
  <w:rsids>
    <w:rsidRoot w:val="00276BF3"/>
    <w:rsid w:val="00001909"/>
    <w:rsid w:val="00032364"/>
    <w:rsid w:val="00036C78"/>
    <w:rsid w:val="000529E9"/>
    <w:rsid w:val="00062C66"/>
    <w:rsid w:val="00070AE1"/>
    <w:rsid w:val="00072BCE"/>
    <w:rsid w:val="00074FF2"/>
    <w:rsid w:val="00080F3A"/>
    <w:rsid w:val="00081417"/>
    <w:rsid w:val="00090483"/>
    <w:rsid w:val="000932ED"/>
    <w:rsid w:val="000A212A"/>
    <w:rsid w:val="000A4BD6"/>
    <w:rsid w:val="000C2AB4"/>
    <w:rsid w:val="000D0D45"/>
    <w:rsid w:val="000D13DC"/>
    <w:rsid w:val="000D3992"/>
    <w:rsid w:val="000D6C5E"/>
    <w:rsid w:val="000F4AC0"/>
    <w:rsid w:val="000F6008"/>
    <w:rsid w:val="001049C5"/>
    <w:rsid w:val="001118FC"/>
    <w:rsid w:val="001256CF"/>
    <w:rsid w:val="00136EF5"/>
    <w:rsid w:val="001611C0"/>
    <w:rsid w:val="00164141"/>
    <w:rsid w:val="00187B27"/>
    <w:rsid w:val="001924FD"/>
    <w:rsid w:val="001B758D"/>
    <w:rsid w:val="001C1C1B"/>
    <w:rsid w:val="001C5A49"/>
    <w:rsid w:val="001D504C"/>
    <w:rsid w:val="001E0541"/>
    <w:rsid w:val="001E347B"/>
    <w:rsid w:val="001E5A25"/>
    <w:rsid w:val="001E6360"/>
    <w:rsid w:val="001F13CF"/>
    <w:rsid w:val="002001DC"/>
    <w:rsid w:val="00202AE3"/>
    <w:rsid w:val="0020585E"/>
    <w:rsid w:val="00213004"/>
    <w:rsid w:val="002139E0"/>
    <w:rsid w:val="00231C23"/>
    <w:rsid w:val="00252080"/>
    <w:rsid w:val="002663D6"/>
    <w:rsid w:val="0027055C"/>
    <w:rsid w:val="00271F21"/>
    <w:rsid w:val="00276BF3"/>
    <w:rsid w:val="00282749"/>
    <w:rsid w:val="00283C8D"/>
    <w:rsid w:val="00285F07"/>
    <w:rsid w:val="00295BED"/>
    <w:rsid w:val="002A1EF7"/>
    <w:rsid w:val="002B1B72"/>
    <w:rsid w:val="002B3838"/>
    <w:rsid w:val="002C5E9E"/>
    <w:rsid w:val="002C6E39"/>
    <w:rsid w:val="002D1713"/>
    <w:rsid w:val="002F4CED"/>
    <w:rsid w:val="003031F5"/>
    <w:rsid w:val="00307828"/>
    <w:rsid w:val="003126CE"/>
    <w:rsid w:val="003158F6"/>
    <w:rsid w:val="003165C7"/>
    <w:rsid w:val="00322E77"/>
    <w:rsid w:val="00331809"/>
    <w:rsid w:val="003364EC"/>
    <w:rsid w:val="00337041"/>
    <w:rsid w:val="0033784E"/>
    <w:rsid w:val="00345217"/>
    <w:rsid w:val="00352B55"/>
    <w:rsid w:val="00361E3A"/>
    <w:rsid w:val="003765FB"/>
    <w:rsid w:val="00376C0E"/>
    <w:rsid w:val="003847EC"/>
    <w:rsid w:val="00386D4F"/>
    <w:rsid w:val="00390064"/>
    <w:rsid w:val="0039566A"/>
    <w:rsid w:val="003A2212"/>
    <w:rsid w:val="003B5516"/>
    <w:rsid w:val="003C0562"/>
    <w:rsid w:val="003E1D5A"/>
    <w:rsid w:val="004002AD"/>
    <w:rsid w:val="004064C3"/>
    <w:rsid w:val="00412526"/>
    <w:rsid w:val="00413687"/>
    <w:rsid w:val="00413712"/>
    <w:rsid w:val="004152E2"/>
    <w:rsid w:val="00424B7D"/>
    <w:rsid w:val="00430EF1"/>
    <w:rsid w:val="00431B8D"/>
    <w:rsid w:val="004478F1"/>
    <w:rsid w:val="0045589F"/>
    <w:rsid w:val="00462E61"/>
    <w:rsid w:val="00475182"/>
    <w:rsid w:val="00481FEA"/>
    <w:rsid w:val="0048220C"/>
    <w:rsid w:val="004876FB"/>
    <w:rsid w:val="0049430C"/>
    <w:rsid w:val="004958C9"/>
    <w:rsid w:val="004B2574"/>
    <w:rsid w:val="004B4C8D"/>
    <w:rsid w:val="004C12A7"/>
    <w:rsid w:val="004C43DD"/>
    <w:rsid w:val="004D43E6"/>
    <w:rsid w:val="004E11DB"/>
    <w:rsid w:val="004E4682"/>
    <w:rsid w:val="004E7BBE"/>
    <w:rsid w:val="004F0332"/>
    <w:rsid w:val="00502E3E"/>
    <w:rsid w:val="00506D06"/>
    <w:rsid w:val="00560881"/>
    <w:rsid w:val="00563594"/>
    <w:rsid w:val="00564A49"/>
    <w:rsid w:val="00566397"/>
    <w:rsid w:val="00567B86"/>
    <w:rsid w:val="005763CC"/>
    <w:rsid w:val="00595BFB"/>
    <w:rsid w:val="005A2D64"/>
    <w:rsid w:val="005A3595"/>
    <w:rsid w:val="005C01D6"/>
    <w:rsid w:val="005C5CC5"/>
    <w:rsid w:val="005D0B62"/>
    <w:rsid w:val="00601584"/>
    <w:rsid w:val="00603EDC"/>
    <w:rsid w:val="006137EA"/>
    <w:rsid w:val="00614177"/>
    <w:rsid w:val="006166A7"/>
    <w:rsid w:val="00625C32"/>
    <w:rsid w:val="00631D21"/>
    <w:rsid w:val="00633123"/>
    <w:rsid w:val="00635592"/>
    <w:rsid w:val="00653F94"/>
    <w:rsid w:val="006600D5"/>
    <w:rsid w:val="0067053B"/>
    <w:rsid w:val="00672702"/>
    <w:rsid w:val="0067722F"/>
    <w:rsid w:val="006811B5"/>
    <w:rsid w:val="00681D10"/>
    <w:rsid w:val="0068484F"/>
    <w:rsid w:val="00687974"/>
    <w:rsid w:val="006A1774"/>
    <w:rsid w:val="006B121B"/>
    <w:rsid w:val="006B126A"/>
    <w:rsid w:val="006B42AB"/>
    <w:rsid w:val="006C347E"/>
    <w:rsid w:val="006C4648"/>
    <w:rsid w:val="006C4EA3"/>
    <w:rsid w:val="006D3277"/>
    <w:rsid w:val="006D66D9"/>
    <w:rsid w:val="006E607B"/>
    <w:rsid w:val="00701385"/>
    <w:rsid w:val="0070256B"/>
    <w:rsid w:val="00702AD0"/>
    <w:rsid w:val="00707E15"/>
    <w:rsid w:val="0071386E"/>
    <w:rsid w:val="00716BC3"/>
    <w:rsid w:val="00731B9E"/>
    <w:rsid w:val="00733E90"/>
    <w:rsid w:val="00741ABF"/>
    <w:rsid w:val="00747C1E"/>
    <w:rsid w:val="007552C9"/>
    <w:rsid w:val="0078219F"/>
    <w:rsid w:val="00786562"/>
    <w:rsid w:val="00790F6E"/>
    <w:rsid w:val="00792BD8"/>
    <w:rsid w:val="007A1BB5"/>
    <w:rsid w:val="007E3A5A"/>
    <w:rsid w:val="007E6A58"/>
    <w:rsid w:val="007F0C69"/>
    <w:rsid w:val="007F144B"/>
    <w:rsid w:val="007F1B57"/>
    <w:rsid w:val="00804D7C"/>
    <w:rsid w:val="00805857"/>
    <w:rsid w:val="00811004"/>
    <w:rsid w:val="00812823"/>
    <w:rsid w:val="00812E74"/>
    <w:rsid w:val="0084208B"/>
    <w:rsid w:val="00861344"/>
    <w:rsid w:val="00861346"/>
    <w:rsid w:val="00865670"/>
    <w:rsid w:val="008703AE"/>
    <w:rsid w:val="008711BB"/>
    <w:rsid w:val="008809D0"/>
    <w:rsid w:val="008837B8"/>
    <w:rsid w:val="008A69E6"/>
    <w:rsid w:val="008B0394"/>
    <w:rsid w:val="008B3A5F"/>
    <w:rsid w:val="008C45F1"/>
    <w:rsid w:val="008C4BF6"/>
    <w:rsid w:val="008D1D00"/>
    <w:rsid w:val="009019A4"/>
    <w:rsid w:val="00901E15"/>
    <w:rsid w:val="00906370"/>
    <w:rsid w:val="0093668A"/>
    <w:rsid w:val="00944CE9"/>
    <w:rsid w:val="009546C0"/>
    <w:rsid w:val="00954BC0"/>
    <w:rsid w:val="009614D5"/>
    <w:rsid w:val="00962B06"/>
    <w:rsid w:val="0096550A"/>
    <w:rsid w:val="009A0329"/>
    <w:rsid w:val="009A4E2E"/>
    <w:rsid w:val="009B75A4"/>
    <w:rsid w:val="009B7F29"/>
    <w:rsid w:val="009C0F94"/>
    <w:rsid w:val="009C7E5F"/>
    <w:rsid w:val="009D3A4F"/>
    <w:rsid w:val="009D3D14"/>
    <w:rsid w:val="009F0B92"/>
    <w:rsid w:val="009F5C56"/>
    <w:rsid w:val="00A06BF5"/>
    <w:rsid w:val="00A2421E"/>
    <w:rsid w:val="00A26F03"/>
    <w:rsid w:val="00A3295D"/>
    <w:rsid w:val="00A501E4"/>
    <w:rsid w:val="00A546BF"/>
    <w:rsid w:val="00A65269"/>
    <w:rsid w:val="00A67D80"/>
    <w:rsid w:val="00A71309"/>
    <w:rsid w:val="00A8194D"/>
    <w:rsid w:val="00A86676"/>
    <w:rsid w:val="00A87727"/>
    <w:rsid w:val="00A920C1"/>
    <w:rsid w:val="00AA0F81"/>
    <w:rsid w:val="00AA48E6"/>
    <w:rsid w:val="00AB116F"/>
    <w:rsid w:val="00AB5127"/>
    <w:rsid w:val="00AD0B77"/>
    <w:rsid w:val="00AD39C8"/>
    <w:rsid w:val="00AD4BCF"/>
    <w:rsid w:val="00AF087D"/>
    <w:rsid w:val="00AF7C4A"/>
    <w:rsid w:val="00B11081"/>
    <w:rsid w:val="00B2287F"/>
    <w:rsid w:val="00B27627"/>
    <w:rsid w:val="00B30641"/>
    <w:rsid w:val="00B44D6F"/>
    <w:rsid w:val="00B46719"/>
    <w:rsid w:val="00B56AD7"/>
    <w:rsid w:val="00B61DA0"/>
    <w:rsid w:val="00B64070"/>
    <w:rsid w:val="00B654B5"/>
    <w:rsid w:val="00B84C52"/>
    <w:rsid w:val="00B86CE6"/>
    <w:rsid w:val="00B92BE4"/>
    <w:rsid w:val="00BB5AA3"/>
    <w:rsid w:val="00BC1791"/>
    <w:rsid w:val="00BC1B8D"/>
    <w:rsid w:val="00BD620F"/>
    <w:rsid w:val="00BD6F4E"/>
    <w:rsid w:val="00BD757C"/>
    <w:rsid w:val="00BE3625"/>
    <w:rsid w:val="00BE46DE"/>
    <w:rsid w:val="00C21FA1"/>
    <w:rsid w:val="00C4349A"/>
    <w:rsid w:val="00C436DC"/>
    <w:rsid w:val="00C43B4B"/>
    <w:rsid w:val="00C44963"/>
    <w:rsid w:val="00C46335"/>
    <w:rsid w:val="00C464D3"/>
    <w:rsid w:val="00C551D4"/>
    <w:rsid w:val="00C57DC5"/>
    <w:rsid w:val="00C65E41"/>
    <w:rsid w:val="00C9238B"/>
    <w:rsid w:val="00CA0C60"/>
    <w:rsid w:val="00CA1E96"/>
    <w:rsid w:val="00CA2086"/>
    <w:rsid w:val="00CA2862"/>
    <w:rsid w:val="00CB31AB"/>
    <w:rsid w:val="00CB4A67"/>
    <w:rsid w:val="00CB4C78"/>
    <w:rsid w:val="00CC61CE"/>
    <w:rsid w:val="00CD3DC6"/>
    <w:rsid w:val="00CD4CD6"/>
    <w:rsid w:val="00CD706D"/>
    <w:rsid w:val="00CE29B2"/>
    <w:rsid w:val="00CF309C"/>
    <w:rsid w:val="00CF333A"/>
    <w:rsid w:val="00D02DD5"/>
    <w:rsid w:val="00D0670A"/>
    <w:rsid w:val="00D073C3"/>
    <w:rsid w:val="00D10085"/>
    <w:rsid w:val="00D10233"/>
    <w:rsid w:val="00D11A56"/>
    <w:rsid w:val="00D1414B"/>
    <w:rsid w:val="00D2471A"/>
    <w:rsid w:val="00D26FCE"/>
    <w:rsid w:val="00D32021"/>
    <w:rsid w:val="00D47C09"/>
    <w:rsid w:val="00D51998"/>
    <w:rsid w:val="00D54112"/>
    <w:rsid w:val="00D5545A"/>
    <w:rsid w:val="00D600FE"/>
    <w:rsid w:val="00D60AB8"/>
    <w:rsid w:val="00D61335"/>
    <w:rsid w:val="00D84EE4"/>
    <w:rsid w:val="00D85B60"/>
    <w:rsid w:val="00D87611"/>
    <w:rsid w:val="00D922A9"/>
    <w:rsid w:val="00DA1284"/>
    <w:rsid w:val="00DB79D0"/>
    <w:rsid w:val="00DC231E"/>
    <w:rsid w:val="00DD0465"/>
    <w:rsid w:val="00DD092D"/>
    <w:rsid w:val="00DD214F"/>
    <w:rsid w:val="00DD587D"/>
    <w:rsid w:val="00DE5950"/>
    <w:rsid w:val="00DF445B"/>
    <w:rsid w:val="00E10ABF"/>
    <w:rsid w:val="00E11F7D"/>
    <w:rsid w:val="00E124AF"/>
    <w:rsid w:val="00E12EE4"/>
    <w:rsid w:val="00E2090D"/>
    <w:rsid w:val="00E233F3"/>
    <w:rsid w:val="00E25A73"/>
    <w:rsid w:val="00E263D2"/>
    <w:rsid w:val="00E32638"/>
    <w:rsid w:val="00E33FFC"/>
    <w:rsid w:val="00E37716"/>
    <w:rsid w:val="00E43838"/>
    <w:rsid w:val="00E541E4"/>
    <w:rsid w:val="00E55B03"/>
    <w:rsid w:val="00E62F9D"/>
    <w:rsid w:val="00E6546F"/>
    <w:rsid w:val="00E70344"/>
    <w:rsid w:val="00E71808"/>
    <w:rsid w:val="00E7780B"/>
    <w:rsid w:val="00E77C5D"/>
    <w:rsid w:val="00E87A74"/>
    <w:rsid w:val="00E94FD5"/>
    <w:rsid w:val="00EA701B"/>
    <w:rsid w:val="00EB29EF"/>
    <w:rsid w:val="00EB7776"/>
    <w:rsid w:val="00EC22AC"/>
    <w:rsid w:val="00ED20C5"/>
    <w:rsid w:val="00ED7AAE"/>
    <w:rsid w:val="00EF3B2E"/>
    <w:rsid w:val="00F03D3D"/>
    <w:rsid w:val="00F20265"/>
    <w:rsid w:val="00F20BDF"/>
    <w:rsid w:val="00F41F22"/>
    <w:rsid w:val="00F4303E"/>
    <w:rsid w:val="00F54514"/>
    <w:rsid w:val="00F54C1E"/>
    <w:rsid w:val="00F5504C"/>
    <w:rsid w:val="00F9522A"/>
    <w:rsid w:val="00FA5506"/>
    <w:rsid w:val="00FB4A01"/>
    <w:rsid w:val="00FC3563"/>
    <w:rsid w:val="00FD338B"/>
    <w:rsid w:val="00FD5384"/>
    <w:rsid w:val="00FD61F2"/>
    <w:rsid w:val="00FE1781"/>
    <w:rsid w:val="00FE6E5C"/>
    <w:rsid w:val="00FF5CDD"/>
    <w:rsid w:val="011E0236"/>
    <w:rsid w:val="01310211"/>
    <w:rsid w:val="013B41BA"/>
    <w:rsid w:val="0159126E"/>
    <w:rsid w:val="01693D70"/>
    <w:rsid w:val="01762172"/>
    <w:rsid w:val="0194674A"/>
    <w:rsid w:val="01AE5122"/>
    <w:rsid w:val="01C71CB0"/>
    <w:rsid w:val="01D230FE"/>
    <w:rsid w:val="01EE0B37"/>
    <w:rsid w:val="01F122AD"/>
    <w:rsid w:val="01F62035"/>
    <w:rsid w:val="01FB43DB"/>
    <w:rsid w:val="0213141D"/>
    <w:rsid w:val="02174ECC"/>
    <w:rsid w:val="021F6ED0"/>
    <w:rsid w:val="022F73A2"/>
    <w:rsid w:val="026223A4"/>
    <w:rsid w:val="026C46FD"/>
    <w:rsid w:val="029A6482"/>
    <w:rsid w:val="02C552B4"/>
    <w:rsid w:val="02C97591"/>
    <w:rsid w:val="030D0562"/>
    <w:rsid w:val="0314794B"/>
    <w:rsid w:val="032327D8"/>
    <w:rsid w:val="03404FEF"/>
    <w:rsid w:val="03602F97"/>
    <w:rsid w:val="03B62950"/>
    <w:rsid w:val="03F4380B"/>
    <w:rsid w:val="03FC218E"/>
    <w:rsid w:val="042B2A2D"/>
    <w:rsid w:val="04475814"/>
    <w:rsid w:val="044D0F67"/>
    <w:rsid w:val="04503CBB"/>
    <w:rsid w:val="04525DA3"/>
    <w:rsid w:val="04784101"/>
    <w:rsid w:val="047A5FBD"/>
    <w:rsid w:val="047D34C5"/>
    <w:rsid w:val="04A86F85"/>
    <w:rsid w:val="04AF38FD"/>
    <w:rsid w:val="04BD3208"/>
    <w:rsid w:val="04CB41E8"/>
    <w:rsid w:val="04D338F3"/>
    <w:rsid w:val="04F217BD"/>
    <w:rsid w:val="052E181F"/>
    <w:rsid w:val="053E0EA6"/>
    <w:rsid w:val="053E392E"/>
    <w:rsid w:val="0544022B"/>
    <w:rsid w:val="05470DB6"/>
    <w:rsid w:val="054D194C"/>
    <w:rsid w:val="055D5D03"/>
    <w:rsid w:val="05826CF8"/>
    <w:rsid w:val="058A40EC"/>
    <w:rsid w:val="05921FB2"/>
    <w:rsid w:val="05B00BEE"/>
    <w:rsid w:val="05FC39A4"/>
    <w:rsid w:val="060765BC"/>
    <w:rsid w:val="060C2D53"/>
    <w:rsid w:val="06366B6E"/>
    <w:rsid w:val="06573F78"/>
    <w:rsid w:val="065C5B82"/>
    <w:rsid w:val="06654F20"/>
    <w:rsid w:val="06930D7E"/>
    <w:rsid w:val="06C453DB"/>
    <w:rsid w:val="06CE1903"/>
    <w:rsid w:val="06F048FE"/>
    <w:rsid w:val="06F8001C"/>
    <w:rsid w:val="06FB3B03"/>
    <w:rsid w:val="07124399"/>
    <w:rsid w:val="07213DCC"/>
    <w:rsid w:val="073D0C76"/>
    <w:rsid w:val="07487EF1"/>
    <w:rsid w:val="077A4BE5"/>
    <w:rsid w:val="07A1410D"/>
    <w:rsid w:val="07A5520D"/>
    <w:rsid w:val="07A64C4C"/>
    <w:rsid w:val="07DB395D"/>
    <w:rsid w:val="07E06245"/>
    <w:rsid w:val="07E12AFC"/>
    <w:rsid w:val="07F4255A"/>
    <w:rsid w:val="07FA3C26"/>
    <w:rsid w:val="0831084F"/>
    <w:rsid w:val="084A36DA"/>
    <w:rsid w:val="084E78AD"/>
    <w:rsid w:val="088F199B"/>
    <w:rsid w:val="089B216C"/>
    <w:rsid w:val="08BA7132"/>
    <w:rsid w:val="08E25FED"/>
    <w:rsid w:val="08E77E2A"/>
    <w:rsid w:val="08F02CB9"/>
    <w:rsid w:val="08FA34C7"/>
    <w:rsid w:val="08FD4BD5"/>
    <w:rsid w:val="09216B15"/>
    <w:rsid w:val="093D3223"/>
    <w:rsid w:val="094B46B8"/>
    <w:rsid w:val="095600DF"/>
    <w:rsid w:val="095813E4"/>
    <w:rsid w:val="09722ECD"/>
    <w:rsid w:val="097A6225"/>
    <w:rsid w:val="097A7FD3"/>
    <w:rsid w:val="09AD29BF"/>
    <w:rsid w:val="09BF0765"/>
    <w:rsid w:val="09CF4CEB"/>
    <w:rsid w:val="09D12D13"/>
    <w:rsid w:val="09EC5894"/>
    <w:rsid w:val="09ED69F7"/>
    <w:rsid w:val="0A036B3E"/>
    <w:rsid w:val="0A0976D6"/>
    <w:rsid w:val="0A0A5BB3"/>
    <w:rsid w:val="0A2A5722"/>
    <w:rsid w:val="0A5B41C5"/>
    <w:rsid w:val="0A8B7B1C"/>
    <w:rsid w:val="0A98523E"/>
    <w:rsid w:val="0AB679E1"/>
    <w:rsid w:val="0AD52A48"/>
    <w:rsid w:val="0AD552DB"/>
    <w:rsid w:val="0AF142C5"/>
    <w:rsid w:val="0B073AE9"/>
    <w:rsid w:val="0B242FCE"/>
    <w:rsid w:val="0B303ABE"/>
    <w:rsid w:val="0B696551"/>
    <w:rsid w:val="0BA34770"/>
    <w:rsid w:val="0C0A0C3E"/>
    <w:rsid w:val="0C1661EF"/>
    <w:rsid w:val="0C5A2267"/>
    <w:rsid w:val="0C5C7E64"/>
    <w:rsid w:val="0C6A07D3"/>
    <w:rsid w:val="0C774C9E"/>
    <w:rsid w:val="0CD76A7B"/>
    <w:rsid w:val="0CE638C1"/>
    <w:rsid w:val="0CED18DE"/>
    <w:rsid w:val="0CFD51A3"/>
    <w:rsid w:val="0D026C5D"/>
    <w:rsid w:val="0D1E7807"/>
    <w:rsid w:val="0D511F1F"/>
    <w:rsid w:val="0D904269"/>
    <w:rsid w:val="0D997825"/>
    <w:rsid w:val="0DAB2E51"/>
    <w:rsid w:val="0DBC757D"/>
    <w:rsid w:val="0DBE38E6"/>
    <w:rsid w:val="0DC45CC1"/>
    <w:rsid w:val="0DC611E4"/>
    <w:rsid w:val="0DC679A9"/>
    <w:rsid w:val="0DE545B5"/>
    <w:rsid w:val="0DFF25E8"/>
    <w:rsid w:val="0E020FD2"/>
    <w:rsid w:val="0E286250"/>
    <w:rsid w:val="0E462B7A"/>
    <w:rsid w:val="0E4F5ED2"/>
    <w:rsid w:val="0E5928AD"/>
    <w:rsid w:val="0E7E7F4C"/>
    <w:rsid w:val="0ED827CF"/>
    <w:rsid w:val="0EDC1828"/>
    <w:rsid w:val="0F072534"/>
    <w:rsid w:val="0F1F459D"/>
    <w:rsid w:val="0F225F2D"/>
    <w:rsid w:val="0F2A401B"/>
    <w:rsid w:val="0F2D7092"/>
    <w:rsid w:val="0F4A50E2"/>
    <w:rsid w:val="0F5F0686"/>
    <w:rsid w:val="0F803E6A"/>
    <w:rsid w:val="0FBA10DE"/>
    <w:rsid w:val="0FBA2626"/>
    <w:rsid w:val="0FC4644C"/>
    <w:rsid w:val="0FDF4796"/>
    <w:rsid w:val="10294501"/>
    <w:rsid w:val="10484987"/>
    <w:rsid w:val="10A32505"/>
    <w:rsid w:val="10C203FB"/>
    <w:rsid w:val="10D75D0B"/>
    <w:rsid w:val="10EA565C"/>
    <w:rsid w:val="10ED3781"/>
    <w:rsid w:val="10F83057"/>
    <w:rsid w:val="116C0B49"/>
    <w:rsid w:val="1199094B"/>
    <w:rsid w:val="11CE7896"/>
    <w:rsid w:val="120B6C2D"/>
    <w:rsid w:val="1214071A"/>
    <w:rsid w:val="12303925"/>
    <w:rsid w:val="12505D75"/>
    <w:rsid w:val="12527D3F"/>
    <w:rsid w:val="125E4936"/>
    <w:rsid w:val="12642623"/>
    <w:rsid w:val="12876FEE"/>
    <w:rsid w:val="12AD31C8"/>
    <w:rsid w:val="12EF726C"/>
    <w:rsid w:val="13025F11"/>
    <w:rsid w:val="1324792E"/>
    <w:rsid w:val="13533D6F"/>
    <w:rsid w:val="13BE9BB9"/>
    <w:rsid w:val="142F2704"/>
    <w:rsid w:val="14AB7BDB"/>
    <w:rsid w:val="14C75E31"/>
    <w:rsid w:val="14CC7B6B"/>
    <w:rsid w:val="14E34A09"/>
    <w:rsid w:val="14FD54CA"/>
    <w:rsid w:val="151B6B0E"/>
    <w:rsid w:val="153820C3"/>
    <w:rsid w:val="154871D8"/>
    <w:rsid w:val="155344FA"/>
    <w:rsid w:val="1555138F"/>
    <w:rsid w:val="1565124C"/>
    <w:rsid w:val="15842235"/>
    <w:rsid w:val="15932B49"/>
    <w:rsid w:val="159A2DD3"/>
    <w:rsid w:val="159A3523"/>
    <w:rsid w:val="15A72575"/>
    <w:rsid w:val="15B52E81"/>
    <w:rsid w:val="15CE3B81"/>
    <w:rsid w:val="15E55EA6"/>
    <w:rsid w:val="15ED3F4E"/>
    <w:rsid w:val="16196B4E"/>
    <w:rsid w:val="16654D46"/>
    <w:rsid w:val="166A6559"/>
    <w:rsid w:val="169D510B"/>
    <w:rsid w:val="16B57320"/>
    <w:rsid w:val="16CE03A6"/>
    <w:rsid w:val="16DA0ED7"/>
    <w:rsid w:val="16DA4A0E"/>
    <w:rsid w:val="16EC2F91"/>
    <w:rsid w:val="170C38F7"/>
    <w:rsid w:val="17742506"/>
    <w:rsid w:val="179A5A29"/>
    <w:rsid w:val="17AC6144"/>
    <w:rsid w:val="17AF353E"/>
    <w:rsid w:val="17C46B8A"/>
    <w:rsid w:val="17FDC41B"/>
    <w:rsid w:val="1813218C"/>
    <w:rsid w:val="182E7EF3"/>
    <w:rsid w:val="1830625E"/>
    <w:rsid w:val="18313DE5"/>
    <w:rsid w:val="183A7DBC"/>
    <w:rsid w:val="187C5B16"/>
    <w:rsid w:val="19121FD6"/>
    <w:rsid w:val="191C3F72"/>
    <w:rsid w:val="191D13C0"/>
    <w:rsid w:val="193B4F6B"/>
    <w:rsid w:val="193E0CBA"/>
    <w:rsid w:val="19461C80"/>
    <w:rsid w:val="19472589"/>
    <w:rsid w:val="194C6A11"/>
    <w:rsid w:val="19622F5E"/>
    <w:rsid w:val="198B3B37"/>
    <w:rsid w:val="19E07E8B"/>
    <w:rsid w:val="19E62068"/>
    <w:rsid w:val="19F4792E"/>
    <w:rsid w:val="1A0C4B7C"/>
    <w:rsid w:val="1A2B194E"/>
    <w:rsid w:val="1A3D3083"/>
    <w:rsid w:val="1A3F6023"/>
    <w:rsid w:val="1A49126F"/>
    <w:rsid w:val="1A587EBD"/>
    <w:rsid w:val="1A666B6F"/>
    <w:rsid w:val="1A7E1D67"/>
    <w:rsid w:val="1AA43102"/>
    <w:rsid w:val="1AC437A4"/>
    <w:rsid w:val="1AC563C7"/>
    <w:rsid w:val="1AC87DF6"/>
    <w:rsid w:val="1AE532AF"/>
    <w:rsid w:val="1AFB72AE"/>
    <w:rsid w:val="1B030C66"/>
    <w:rsid w:val="1B0818E3"/>
    <w:rsid w:val="1B2129A5"/>
    <w:rsid w:val="1B4B7383"/>
    <w:rsid w:val="1B6D744D"/>
    <w:rsid w:val="1B81532C"/>
    <w:rsid w:val="1B842515"/>
    <w:rsid w:val="1BB06BA6"/>
    <w:rsid w:val="1BC534F8"/>
    <w:rsid w:val="1BC7354C"/>
    <w:rsid w:val="1BC81E14"/>
    <w:rsid w:val="1BE85FD5"/>
    <w:rsid w:val="1C006EF9"/>
    <w:rsid w:val="1C1918CE"/>
    <w:rsid w:val="1C4457BD"/>
    <w:rsid w:val="1C4B6E6A"/>
    <w:rsid w:val="1C4F3541"/>
    <w:rsid w:val="1C6F4349"/>
    <w:rsid w:val="1C7C20CC"/>
    <w:rsid w:val="1C862449"/>
    <w:rsid w:val="1C8832E6"/>
    <w:rsid w:val="1C8F3637"/>
    <w:rsid w:val="1C9553F8"/>
    <w:rsid w:val="1CB3587E"/>
    <w:rsid w:val="1CBA23B3"/>
    <w:rsid w:val="1CC16350"/>
    <w:rsid w:val="1D0D65B3"/>
    <w:rsid w:val="1D0E6B73"/>
    <w:rsid w:val="1D15F42A"/>
    <w:rsid w:val="1D235D75"/>
    <w:rsid w:val="1D2E13A9"/>
    <w:rsid w:val="1D3151EA"/>
    <w:rsid w:val="1D3F66C7"/>
    <w:rsid w:val="1D4E2356"/>
    <w:rsid w:val="1D697363"/>
    <w:rsid w:val="1D9B4C90"/>
    <w:rsid w:val="1DD41F50"/>
    <w:rsid w:val="1DFF3B12"/>
    <w:rsid w:val="1DFF59CE"/>
    <w:rsid w:val="1E0C0094"/>
    <w:rsid w:val="1E403142"/>
    <w:rsid w:val="1E4F2254"/>
    <w:rsid w:val="1E5D1F46"/>
    <w:rsid w:val="1EB31B66"/>
    <w:rsid w:val="1EC52D7D"/>
    <w:rsid w:val="1ECC2C27"/>
    <w:rsid w:val="1EE77A61"/>
    <w:rsid w:val="1EEC32CA"/>
    <w:rsid w:val="1EF91A2B"/>
    <w:rsid w:val="1EFB52BB"/>
    <w:rsid w:val="1EFD4A5B"/>
    <w:rsid w:val="1F43738D"/>
    <w:rsid w:val="1F597889"/>
    <w:rsid w:val="1F791946"/>
    <w:rsid w:val="1F8020FC"/>
    <w:rsid w:val="1F9FA9C4"/>
    <w:rsid w:val="1FD331F5"/>
    <w:rsid w:val="1FD652E4"/>
    <w:rsid w:val="1FDD090B"/>
    <w:rsid w:val="1FF41D14"/>
    <w:rsid w:val="1FF51B3B"/>
    <w:rsid w:val="1FFF2F2C"/>
    <w:rsid w:val="204819C3"/>
    <w:rsid w:val="207D4006"/>
    <w:rsid w:val="207F5A82"/>
    <w:rsid w:val="20831A80"/>
    <w:rsid w:val="20A817A1"/>
    <w:rsid w:val="20C85AF0"/>
    <w:rsid w:val="20DB53A4"/>
    <w:rsid w:val="21010033"/>
    <w:rsid w:val="2120725A"/>
    <w:rsid w:val="217E6023"/>
    <w:rsid w:val="218E0668"/>
    <w:rsid w:val="21A954A2"/>
    <w:rsid w:val="21D02A2F"/>
    <w:rsid w:val="21DA0CCF"/>
    <w:rsid w:val="21E7182E"/>
    <w:rsid w:val="22140B6D"/>
    <w:rsid w:val="223D47BB"/>
    <w:rsid w:val="226013CC"/>
    <w:rsid w:val="226A2E83"/>
    <w:rsid w:val="2280410B"/>
    <w:rsid w:val="22D34080"/>
    <w:rsid w:val="22E22D4A"/>
    <w:rsid w:val="22F56BF1"/>
    <w:rsid w:val="22F73BE9"/>
    <w:rsid w:val="23151418"/>
    <w:rsid w:val="23337719"/>
    <w:rsid w:val="23757D3B"/>
    <w:rsid w:val="240412CD"/>
    <w:rsid w:val="240B134B"/>
    <w:rsid w:val="24700765"/>
    <w:rsid w:val="24853FA4"/>
    <w:rsid w:val="24C7636B"/>
    <w:rsid w:val="24FC3081"/>
    <w:rsid w:val="2519649B"/>
    <w:rsid w:val="25357D1C"/>
    <w:rsid w:val="255928EB"/>
    <w:rsid w:val="25BF34E6"/>
    <w:rsid w:val="25C1725E"/>
    <w:rsid w:val="25CA011E"/>
    <w:rsid w:val="25DD4AFD"/>
    <w:rsid w:val="25F96224"/>
    <w:rsid w:val="261D52FE"/>
    <w:rsid w:val="26296BB1"/>
    <w:rsid w:val="26356F09"/>
    <w:rsid w:val="26D75237"/>
    <w:rsid w:val="26F121F0"/>
    <w:rsid w:val="26F83ECA"/>
    <w:rsid w:val="270D292B"/>
    <w:rsid w:val="27221CB1"/>
    <w:rsid w:val="27332D60"/>
    <w:rsid w:val="273477E1"/>
    <w:rsid w:val="274243CE"/>
    <w:rsid w:val="274A1F4F"/>
    <w:rsid w:val="276E6F72"/>
    <w:rsid w:val="27A33318"/>
    <w:rsid w:val="27ED000E"/>
    <w:rsid w:val="27FEE954"/>
    <w:rsid w:val="27FF74D2"/>
    <w:rsid w:val="280C74C5"/>
    <w:rsid w:val="280D0AF9"/>
    <w:rsid w:val="28170B48"/>
    <w:rsid w:val="28804665"/>
    <w:rsid w:val="28846321"/>
    <w:rsid w:val="28A03AF9"/>
    <w:rsid w:val="28A6098D"/>
    <w:rsid w:val="28B60BD0"/>
    <w:rsid w:val="28F01E2E"/>
    <w:rsid w:val="28F43F3F"/>
    <w:rsid w:val="29084248"/>
    <w:rsid w:val="29373393"/>
    <w:rsid w:val="29614C3E"/>
    <w:rsid w:val="29A9603F"/>
    <w:rsid w:val="29AD194F"/>
    <w:rsid w:val="29DF0E57"/>
    <w:rsid w:val="2A0D39B0"/>
    <w:rsid w:val="2A103412"/>
    <w:rsid w:val="2A475AEA"/>
    <w:rsid w:val="2A72028B"/>
    <w:rsid w:val="2A9C442F"/>
    <w:rsid w:val="2AA44A58"/>
    <w:rsid w:val="2AB32EED"/>
    <w:rsid w:val="2AD90BA6"/>
    <w:rsid w:val="2B136138"/>
    <w:rsid w:val="2B1A58CC"/>
    <w:rsid w:val="2B2C682F"/>
    <w:rsid w:val="2B2F386A"/>
    <w:rsid w:val="2B2F79BD"/>
    <w:rsid w:val="2B460FF0"/>
    <w:rsid w:val="2B7E34FB"/>
    <w:rsid w:val="2BA02E46"/>
    <w:rsid w:val="2BA47770"/>
    <w:rsid w:val="2BBF1BD7"/>
    <w:rsid w:val="2BC03B14"/>
    <w:rsid w:val="2BCE4483"/>
    <w:rsid w:val="2C1017DB"/>
    <w:rsid w:val="2C11436F"/>
    <w:rsid w:val="2C2B3683"/>
    <w:rsid w:val="2C344011"/>
    <w:rsid w:val="2C723060"/>
    <w:rsid w:val="2C907843"/>
    <w:rsid w:val="2C9A111C"/>
    <w:rsid w:val="2CA23219"/>
    <w:rsid w:val="2CA3146B"/>
    <w:rsid w:val="2CA91C3C"/>
    <w:rsid w:val="2CAC2C30"/>
    <w:rsid w:val="2CB62F03"/>
    <w:rsid w:val="2CD0422B"/>
    <w:rsid w:val="2D043B9C"/>
    <w:rsid w:val="2D2D12F6"/>
    <w:rsid w:val="2D95464D"/>
    <w:rsid w:val="2DA51213"/>
    <w:rsid w:val="2DE7EB9F"/>
    <w:rsid w:val="2DE955A4"/>
    <w:rsid w:val="2DEA7714"/>
    <w:rsid w:val="2DF6F328"/>
    <w:rsid w:val="2E0D4DCE"/>
    <w:rsid w:val="2E2270BF"/>
    <w:rsid w:val="2E3507E9"/>
    <w:rsid w:val="2E463EE6"/>
    <w:rsid w:val="2E5400E2"/>
    <w:rsid w:val="2E951288"/>
    <w:rsid w:val="2EC660EE"/>
    <w:rsid w:val="2ED15F5E"/>
    <w:rsid w:val="2ED56B63"/>
    <w:rsid w:val="2EDF2CF6"/>
    <w:rsid w:val="2EF1314F"/>
    <w:rsid w:val="2F2A5E74"/>
    <w:rsid w:val="2F3B32FA"/>
    <w:rsid w:val="2F662C47"/>
    <w:rsid w:val="2F763477"/>
    <w:rsid w:val="2F833124"/>
    <w:rsid w:val="2F954092"/>
    <w:rsid w:val="2F9E23BE"/>
    <w:rsid w:val="2FB4573E"/>
    <w:rsid w:val="2FBD0FF1"/>
    <w:rsid w:val="2FD9156D"/>
    <w:rsid w:val="2FF40230"/>
    <w:rsid w:val="2FF76CD5"/>
    <w:rsid w:val="2FFBF0BC"/>
    <w:rsid w:val="301279E9"/>
    <w:rsid w:val="30197C97"/>
    <w:rsid w:val="30216B85"/>
    <w:rsid w:val="30313232"/>
    <w:rsid w:val="3049232A"/>
    <w:rsid w:val="304E16EE"/>
    <w:rsid w:val="30823A8E"/>
    <w:rsid w:val="309C68FD"/>
    <w:rsid w:val="30BD4AC6"/>
    <w:rsid w:val="30CF7E4F"/>
    <w:rsid w:val="30DF4595"/>
    <w:rsid w:val="30EE2ED1"/>
    <w:rsid w:val="30F5600E"/>
    <w:rsid w:val="30F760F8"/>
    <w:rsid w:val="30FF3436"/>
    <w:rsid w:val="31025E73"/>
    <w:rsid w:val="313C1E8F"/>
    <w:rsid w:val="315471D8"/>
    <w:rsid w:val="315C42DF"/>
    <w:rsid w:val="31DB3455"/>
    <w:rsid w:val="31DC0F7C"/>
    <w:rsid w:val="32195012"/>
    <w:rsid w:val="32285C55"/>
    <w:rsid w:val="322A6968"/>
    <w:rsid w:val="32592833"/>
    <w:rsid w:val="325D76F9"/>
    <w:rsid w:val="326A47D9"/>
    <w:rsid w:val="3297F56D"/>
    <w:rsid w:val="329D324D"/>
    <w:rsid w:val="32B36A56"/>
    <w:rsid w:val="32B37F2E"/>
    <w:rsid w:val="32C37159"/>
    <w:rsid w:val="32CD4B05"/>
    <w:rsid w:val="32DA5865"/>
    <w:rsid w:val="3304078A"/>
    <w:rsid w:val="33300D42"/>
    <w:rsid w:val="3337290D"/>
    <w:rsid w:val="336C0197"/>
    <w:rsid w:val="337A6C9E"/>
    <w:rsid w:val="339543D2"/>
    <w:rsid w:val="339616AF"/>
    <w:rsid w:val="339733AC"/>
    <w:rsid w:val="33CD13CF"/>
    <w:rsid w:val="33D32127"/>
    <w:rsid w:val="33F76C88"/>
    <w:rsid w:val="3430563F"/>
    <w:rsid w:val="34373437"/>
    <w:rsid w:val="34384B8F"/>
    <w:rsid w:val="343C0E65"/>
    <w:rsid w:val="345B7989"/>
    <w:rsid w:val="345C0152"/>
    <w:rsid w:val="346911EC"/>
    <w:rsid w:val="34727975"/>
    <w:rsid w:val="349124F1"/>
    <w:rsid w:val="34C06933"/>
    <w:rsid w:val="34C21D26"/>
    <w:rsid w:val="34E83B47"/>
    <w:rsid w:val="34FA6E73"/>
    <w:rsid w:val="34FB796B"/>
    <w:rsid w:val="35351F36"/>
    <w:rsid w:val="35431A3E"/>
    <w:rsid w:val="354B444E"/>
    <w:rsid w:val="355317BE"/>
    <w:rsid w:val="35622C71"/>
    <w:rsid w:val="358F4C83"/>
    <w:rsid w:val="35CB1A33"/>
    <w:rsid w:val="35CC29F6"/>
    <w:rsid w:val="35D35274"/>
    <w:rsid w:val="35D5415D"/>
    <w:rsid w:val="35D6DB18"/>
    <w:rsid w:val="36251011"/>
    <w:rsid w:val="3663FB4D"/>
    <w:rsid w:val="36AA1648"/>
    <w:rsid w:val="36B137E8"/>
    <w:rsid w:val="36D1697E"/>
    <w:rsid w:val="36DA49BF"/>
    <w:rsid w:val="36DF5796"/>
    <w:rsid w:val="36FE4383"/>
    <w:rsid w:val="37044CAB"/>
    <w:rsid w:val="372E04CB"/>
    <w:rsid w:val="372F1B4E"/>
    <w:rsid w:val="374675C3"/>
    <w:rsid w:val="378821CC"/>
    <w:rsid w:val="378B3228"/>
    <w:rsid w:val="37920A5A"/>
    <w:rsid w:val="379320DC"/>
    <w:rsid w:val="37946454"/>
    <w:rsid w:val="37B79D2B"/>
    <w:rsid w:val="37BF1D24"/>
    <w:rsid w:val="37C300DE"/>
    <w:rsid w:val="37D72911"/>
    <w:rsid w:val="37E666B0"/>
    <w:rsid w:val="37FB617A"/>
    <w:rsid w:val="383D3652"/>
    <w:rsid w:val="384B1DA2"/>
    <w:rsid w:val="386A0E52"/>
    <w:rsid w:val="3894610C"/>
    <w:rsid w:val="38AE740E"/>
    <w:rsid w:val="38B962A4"/>
    <w:rsid w:val="38E01E64"/>
    <w:rsid w:val="38EB5FBA"/>
    <w:rsid w:val="38FA4C6D"/>
    <w:rsid w:val="391060DB"/>
    <w:rsid w:val="393618B9"/>
    <w:rsid w:val="393A0F20"/>
    <w:rsid w:val="39737529"/>
    <w:rsid w:val="397FA007"/>
    <w:rsid w:val="39822409"/>
    <w:rsid w:val="39AD341F"/>
    <w:rsid w:val="39EA57E5"/>
    <w:rsid w:val="39F63CEA"/>
    <w:rsid w:val="39FB78A4"/>
    <w:rsid w:val="3A3E1F9C"/>
    <w:rsid w:val="3A48156B"/>
    <w:rsid w:val="3A526150"/>
    <w:rsid w:val="3A540249"/>
    <w:rsid w:val="3A715EEC"/>
    <w:rsid w:val="3A781526"/>
    <w:rsid w:val="3A962E57"/>
    <w:rsid w:val="3ADD00EB"/>
    <w:rsid w:val="3ADD023E"/>
    <w:rsid w:val="3AEA78AE"/>
    <w:rsid w:val="3AF9494C"/>
    <w:rsid w:val="3AFDDD8F"/>
    <w:rsid w:val="3B125436"/>
    <w:rsid w:val="3B2D7E82"/>
    <w:rsid w:val="3B2E2848"/>
    <w:rsid w:val="3B35724B"/>
    <w:rsid w:val="3B364AD1"/>
    <w:rsid w:val="3B457B92"/>
    <w:rsid w:val="3B653AFE"/>
    <w:rsid w:val="3B683A2F"/>
    <w:rsid w:val="3B807607"/>
    <w:rsid w:val="3BA05780"/>
    <w:rsid w:val="3BBFDBD1"/>
    <w:rsid w:val="3BD17677"/>
    <w:rsid w:val="3BD85BD5"/>
    <w:rsid w:val="3BE112D5"/>
    <w:rsid w:val="3BEFD333"/>
    <w:rsid w:val="3BFA1DF4"/>
    <w:rsid w:val="3C2B2403"/>
    <w:rsid w:val="3C7721BF"/>
    <w:rsid w:val="3C7F89F3"/>
    <w:rsid w:val="3C8B5A78"/>
    <w:rsid w:val="3CB90837"/>
    <w:rsid w:val="3CC821AD"/>
    <w:rsid w:val="3CCD1DA9"/>
    <w:rsid w:val="3CDE455B"/>
    <w:rsid w:val="3CE16532"/>
    <w:rsid w:val="3CF12FA6"/>
    <w:rsid w:val="3CF7252C"/>
    <w:rsid w:val="3D0A1093"/>
    <w:rsid w:val="3D147027"/>
    <w:rsid w:val="3D224DE9"/>
    <w:rsid w:val="3D3F4E19"/>
    <w:rsid w:val="3D5B4EAA"/>
    <w:rsid w:val="3D7338D9"/>
    <w:rsid w:val="3D733D0E"/>
    <w:rsid w:val="3D8175A7"/>
    <w:rsid w:val="3D8F067A"/>
    <w:rsid w:val="3DA24BB0"/>
    <w:rsid w:val="3DA908AC"/>
    <w:rsid w:val="3DAB794E"/>
    <w:rsid w:val="3DB80AEF"/>
    <w:rsid w:val="3DCFD675"/>
    <w:rsid w:val="3DDF1F81"/>
    <w:rsid w:val="3E0C4997"/>
    <w:rsid w:val="3E1C6396"/>
    <w:rsid w:val="3E2E70EF"/>
    <w:rsid w:val="3E324F97"/>
    <w:rsid w:val="3E3E1A84"/>
    <w:rsid w:val="3E43485C"/>
    <w:rsid w:val="3E4D234E"/>
    <w:rsid w:val="3E5E7173"/>
    <w:rsid w:val="3E6B3DB3"/>
    <w:rsid w:val="3E7B0388"/>
    <w:rsid w:val="3E8648AE"/>
    <w:rsid w:val="3E8E0DB8"/>
    <w:rsid w:val="3E953A06"/>
    <w:rsid w:val="3EA80B63"/>
    <w:rsid w:val="3EBE0F77"/>
    <w:rsid w:val="3EBFB587"/>
    <w:rsid w:val="3EC722BE"/>
    <w:rsid w:val="3ED454B4"/>
    <w:rsid w:val="3EF1250A"/>
    <w:rsid w:val="3EFED8A8"/>
    <w:rsid w:val="3EFF679C"/>
    <w:rsid w:val="3F033FEC"/>
    <w:rsid w:val="3F29645E"/>
    <w:rsid w:val="3F314E39"/>
    <w:rsid w:val="3F4259EF"/>
    <w:rsid w:val="3F43263A"/>
    <w:rsid w:val="3F5D116F"/>
    <w:rsid w:val="3F6FC61D"/>
    <w:rsid w:val="3F72A782"/>
    <w:rsid w:val="3F7A3E2D"/>
    <w:rsid w:val="3F98009B"/>
    <w:rsid w:val="3F9E5AC2"/>
    <w:rsid w:val="3FAF04C4"/>
    <w:rsid w:val="3FBD1EC0"/>
    <w:rsid w:val="3FBE5436"/>
    <w:rsid w:val="3FC419CD"/>
    <w:rsid w:val="3FEC0F24"/>
    <w:rsid w:val="3FF3CAEC"/>
    <w:rsid w:val="3FF70FD6"/>
    <w:rsid w:val="3FFE72B8"/>
    <w:rsid w:val="3FFFF19F"/>
    <w:rsid w:val="403066E3"/>
    <w:rsid w:val="404605CF"/>
    <w:rsid w:val="405C7E57"/>
    <w:rsid w:val="40640ABA"/>
    <w:rsid w:val="408E08DA"/>
    <w:rsid w:val="409C0254"/>
    <w:rsid w:val="40A1586A"/>
    <w:rsid w:val="40D774DE"/>
    <w:rsid w:val="40F938F8"/>
    <w:rsid w:val="410C6521"/>
    <w:rsid w:val="412D35A2"/>
    <w:rsid w:val="41417FB7"/>
    <w:rsid w:val="41676AB4"/>
    <w:rsid w:val="41934623"/>
    <w:rsid w:val="4197331F"/>
    <w:rsid w:val="41AF1136"/>
    <w:rsid w:val="41CA1EAB"/>
    <w:rsid w:val="41EC520B"/>
    <w:rsid w:val="41F4274F"/>
    <w:rsid w:val="420339DD"/>
    <w:rsid w:val="420A5691"/>
    <w:rsid w:val="420D21C8"/>
    <w:rsid w:val="423050F8"/>
    <w:rsid w:val="424058DD"/>
    <w:rsid w:val="4246491B"/>
    <w:rsid w:val="425F0874"/>
    <w:rsid w:val="426E5C20"/>
    <w:rsid w:val="427801DC"/>
    <w:rsid w:val="428B45AA"/>
    <w:rsid w:val="42A87384"/>
    <w:rsid w:val="42AB79EA"/>
    <w:rsid w:val="42AD499A"/>
    <w:rsid w:val="42EE22C5"/>
    <w:rsid w:val="433C187A"/>
    <w:rsid w:val="4349650B"/>
    <w:rsid w:val="434E45C3"/>
    <w:rsid w:val="43686B13"/>
    <w:rsid w:val="43903BBF"/>
    <w:rsid w:val="4395089F"/>
    <w:rsid w:val="43A8628C"/>
    <w:rsid w:val="43EA7528"/>
    <w:rsid w:val="43F62371"/>
    <w:rsid w:val="44044A8E"/>
    <w:rsid w:val="442A42CA"/>
    <w:rsid w:val="44316F05"/>
    <w:rsid w:val="44462C14"/>
    <w:rsid w:val="4448249A"/>
    <w:rsid w:val="444E3F5B"/>
    <w:rsid w:val="447826DD"/>
    <w:rsid w:val="44BA4882"/>
    <w:rsid w:val="44BF218D"/>
    <w:rsid w:val="44C2210F"/>
    <w:rsid w:val="44ED72D0"/>
    <w:rsid w:val="44F821EC"/>
    <w:rsid w:val="44FF34A7"/>
    <w:rsid w:val="45011D41"/>
    <w:rsid w:val="454702B7"/>
    <w:rsid w:val="455F50A9"/>
    <w:rsid w:val="456819E4"/>
    <w:rsid w:val="45770A41"/>
    <w:rsid w:val="458C0991"/>
    <w:rsid w:val="458D1D35"/>
    <w:rsid w:val="45D4623F"/>
    <w:rsid w:val="45E316F9"/>
    <w:rsid w:val="45E9646F"/>
    <w:rsid w:val="46054EFF"/>
    <w:rsid w:val="460B79E3"/>
    <w:rsid w:val="46113492"/>
    <w:rsid w:val="461D1E37"/>
    <w:rsid w:val="462A6302"/>
    <w:rsid w:val="463158E2"/>
    <w:rsid w:val="463333B8"/>
    <w:rsid w:val="463A6393"/>
    <w:rsid w:val="46651743"/>
    <w:rsid w:val="46731A57"/>
    <w:rsid w:val="467632F5"/>
    <w:rsid w:val="467C7CF4"/>
    <w:rsid w:val="46971BE9"/>
    <w:rsid w:val="46BF4C9C"/>
    <w:rsid w:val="46C329DE"/>
    <w:rsid w:val="46F1479A"/>
    <w:rsid w:val="46FD6304"/>
    <w:rsid w:val="4714670E"/>
    <w:rsid w:val="472674C8"/>
    <w:rsid w:val="472F2356"/>
    <w:rsid w:val="473513C9"/>
    <w:rsid w:val="473C009B"/>
    <w:rsid w:val="474E4E09"/>
    <w:rsid w:val="47665118"/>
    <w:rsid w:val="47A10846"/>
    <w:rsid w:val="47A8312D"/>
    <w:rsid w:val="47B607B1"/>
    <w:rsid w:val="47EB2161"/>
    <w:rsid w:val="48033D20"/>
    <w:rsid w:val="48244458"/>
    <w:rsid w:val="482E032B"/>
    <w:rsid w:val="48305E1A"/>
    <w:rsid w:val="489F2FD7"/>
    <w:rsid w:val="48A65332"/>
    <w:rsid w:val="48A94C25"/>
    <w:rsid w:val="48B102D4"/>
    <w:rsid w:val="490E52B5"/>
    <w:rsid w:val="49234E8C"/>
    <w:rsid w:val="493801AD"/>
    <w:rsid w:val="49546932"/>
    <w:rsid w:val="49614097"/>
    <w:rsid w:val="49646232"/>
    <w:rsid w:val="496B0B8D"/>
    <w:rsid w:val="497E15BE"/>
    <w:rsid w:val="49896CB2"/>
    <w:rsid w:val="498B1A71"/>
    <w:rsid w:val="498F7C11"/>
    <w:rsid w:val="49A21DA1"/>
    <w:rsid w:val="49A5461D"/>
    <w:rsid w:val="49AD4B47"/>
    <w:rsid w:val="49C91C9A"/>
    <w:rsid w:val="49CC4853"/>
    <w:rsid w:val="49DF0C57"/>
    <w:rsid w:val="49E60792"/>
    <w:rsid w:val="49EA0282"/>
    <w:rsid w:val="49EC1F28"/>
    <w:rsid w:val="4A08695A"/>
    <w:rsid w:val="4A11273F"/>
    <w:rsid w:val="4A3414FD"/>
    <w:rsid w:val="4A361967"/>
    <w:rsid w:val="4A372D9B"/>
    <w:rsid w:val="4A534079"/>
    <w:rsid w:val="4A6130DB"/>
    <w:rsid w:val="4A62606A"/>
    <w:rsid w:val="4A916E62"/>
    <w:rsid w:val="4A993A56"/>
    <w:rsid w:val="4AA01CFD"/>
    <w:rsid w:val="4AA20B5D"/>
    <w:rsid w:val="4AA743C5"/>
    <w:rsid w:val="4AE051E1"/>
    <w:rsid w:val="4AFC2436"/>
    <w:rsid w:val="4B226DD3"/>
    <w:rsid w:val="4B3662E3"/>
    <w:rsid w:val="4B3A0D95"/>
    <w:rsid w:val="4B4A7B6F"/>
    <w:rsid w:val="4B4B4D50"/>
    <w:rsid w:val="4B6E1FC8"/>
    <w:rsid w:val="4BA853BD"/>
    <w:rsid w:val="4BAB1C93"/>
    <w:rsid w:val="4BAF12B3"/>
    <w:rsid w:val="4BBF7CBD"/>
    <w:rsid w:val="4BD5286C"/>
    <w:rsid w:val="4BDE1A40"/>
    <w:rsid w:val="4BFA71B5"/>
    <w:rsid w:val="4C436F62"/>
    <w:rsid w:val="4C5B267A"/>
    <w:rsid w:val="4C7F5B38"/>
    <w:rsid w:val="4C8248BD"/>
    <w:rsid w:val="4C927F2F"/>
    <w:rsid w:val="4CA50490"/>
    <w:rsid w:val="4CB16E35"/>
    <w:rsid w:val="4CB80446"/>
    <w:rsid w:val="4CD86AB8"/>
    <w:rsid w:val="4CDE6D29"/>
    <w:rsid w:val="4CE03BBE"/>
    <w:rsid w:val="4CF907DC"/>
    <w:rsid w:val="4CFE7C69"/>
    <w:rsid w:val="4CFF5214"/>
    <w:rsid w:val="4D4D597D"/>
    <w:rsid w:val="4D7F0EE4"/>
    <w:rsid w:val="4D8409ED"/>
    <w:rsid w:val="4DB0008D"/>
    <w:rsid w:val="4DB12E65"/>
    <w:rsid w:val="4DCA3B12"/>
    <w:rsid w:val="4DDFDB34"/>
    <w:rsid w:val="4DFC667B"/>
    <w:rsid w:val="4DFE42FC"/>
    <w:rsid w:val="4E124C33"/>
    <w:rsid w:val="4E257040"/>
    <w:rsid w:val="4E611424"/>
    <w:rsid w:val="4E656129"/>
    <w:rsid w:val="4E726A98"/>
    <w:rsid w:val="4EA355F9"/>
    <w:rsid w:val="4EBA6128"/>
    <w:rsid w:val="4EC70B92"/>
    <w:rsid w:val="4EDC51C3"/>
    <w:rsid w:val="4EEA6215"/>
    <w:rsid w:val="4EF7438C"/>
    <w:rsid w:val="4EFD498B"/>
    <w:rsid w:val="4F45079D"/>
    <w:rsid w:val="4F451D9C"/>
    <w:rsid w:val="4F493920"/>
    <w:rsid w:val="4F524F63"/>
    <w:rsid w:val="4F5D4A66"/>
    <w:rsid w:val="4F905657"/>
    <w:rsid w:val="4FB271AA"/>
    <w:rsid w:val="4FBF2665"/>
    <w:rsid w:val="4FC7336D"/>
    <w:rsid w:val="4FE13ED5"/>
    <w:rsid w:val="4FEED003"/>
    <w:rsid w:val="50097A56"/>
    <w:rsid w:val="50113E8E"/>
    <w:rsid w:val="50231A83"/>
    <w:rsid w:val="50363EAE"/>
    <w:rsid w:val="503C330A"/>
    <w:rsid w:val="50415F13"/>
    <w:rsid w:val="504B75A0"/>
    <w:rsid w:val="50552EE4"/>
    <w:rsid w:val="505A56D9"/>
    <w:rsid w:val="508126D0"/>
    <w:rsid w:val="50836D3A"/>
    <w:rsid w:val="50946075"/>
    <w:rsid w:val="50A53BED"/>
    <w:rsid w:val="50D06F2B"/>
    <w:rsid w:val="50E74085"/>
    <w:rsid w:val="510F05CE"/>
    <w:rsid w:val="51206DA9"/>
    <w:rsid w:val="51750D79"/>
    <w:rsid w:val="51782617"/>
    <w:rsid w:val="518B5CBD"/>
    <w:rsid w:val="518D60D8"/>
    <w:rsid w:val="51962A9D"/>
    <w:rsid w:val="52096D27"/>
    <w:rsid w:val="522401F4"/>
    <w:rsid w:val="52241A25"/>
    <w:rsid w:val="523D0C8A"/>
    <w:rsid w:val="52416EAD"/>
    <w:rsid w:val="52543474"/>
    <w:rsid w:val="525F2AC7"/>
    <w:rsid w:val="52650568"/>
    <w:rsid w:val="5281560B"/>
    <w:rsid w:val="5295167A"/>
    <w:rsid w:val="52C91A0C"/>
    <w:rsid w:val="53313A9A"/>
    <w:rsid w:val="533662E6"/>
    <w:rsid w:val="535B4456"/>
    <w:rsid w:val="539B439B"/>
    <w:rsid w:val="53A53847"/>
    <w:rsid w:val="53CC6EFE"/>
    <w:rsid w:val="53D02297"/>
    <w:rsid w:val="53DCDC81"/>
    <w:rsid w:val="53DF072C"/>
    <w:rsid w:val="53EA6D1A"/>
    <w:rsid w:val="54216F96"/>
    <w:rsid w:val="54321702"/>
    <w:rsid w:val="545220E4"/>
    <w:rsid w:val="545B2A65"/>
    <w:rsid w:val="54796854"/>
    <w:rsid w:val="547F7206"/>
    <w:rsid w:val="548A223D"/>
    <w:rsid w:val="54901A26"/>
    <w:rsid w:val="549A28A4"/>
    <w:rsid w:val="54AB12DF"/>
    <w:rsid w:val="54B51E36"/>
    <w:rsid w:val="54BA0063"/>
    <w:rsid w:val="54F63F7F"/>
    <w:rsid w:val="55054CC7"/>
    <w:rsid w:val="55214FBB"/>
    <w:rsid w:val="55236D3E"/>
    <w:rsid w:val="553F7611"/>
    <w:rsid w:val="55A0213D"/>
    <w:rsid w:val="55B13E0D"/>
    <w:rsid w:val="55B5499A"/>
    <w:rsid w:val="55C678D1"/>
    <w:rsid w:val="55E2480B"/>
    <w:rsid w:val="55F96288"/>
    <w:rsid w:val="56156687"/>
    <w:rsid w:val="56177F93"/>
    <w:rsid w:val="565D3B8A"/>
    <w:rsid w:val="565E0EBF"/>
    <w:rsid w:val="56680EAC"/>
    <w:rsid w:val="566E223B"/>
    <w:rsid w:val="56E4691C"/>
    <w:rsid w:val="56F3629C"/>
    <w:rsid w:val="570F696E"/>
    <w:rsid w:val="57250B4B"/>
    <w:rsid w:val="572D7A00"/>
    <w:rsid w:val="573E7C81"/>
    <w:rsid w:val="574216FD"/>
    <w:rsid w:val="57464C52"/>
    <w:rsid w:val="57483C27"/>
    <w:rsid w:val="574A1DC1"/>
    <w:rsid w:val="577F481A"/>
    <w:rsid w:val="579739BE"/>
    <w:rsid w:val="579F2B50"/>
    <w:rsid w:val="57BECB18"/>
    <w:rsid w:val="57BF35F0"/>
    <w:rsid w:val="57CB6B60"/>
    <w:rsid w:val="57DBE81D"/>
    <w:rsid w:val="57EB6181"/>
    <w:rsid w:val="57EF3FFD"/>
    <w:rsid w:val="57F82957"/>
    <w:rsid w:val="5809221B"/>
    <w:rsid w:val="58101263"/>
    <w:rsid w:val="58355EB2"/>
    <w:rsid w:val="583D3C73"/>
    <w:rsid w:val="583E16A2"/>
    <w:rsid w:val="58602DEB"/>
    <w:rsid w:val="587F58A7"/>
    <w:rsid w:val="58967865"/>
    <w:rsid w:val="58B33F35"/>
    <w:rsid w:val="58CC00AC"/>
    <w:rsid w:val="59086A46"/>
    <w:rsid w:val="59254E33"/>
    <w:rsid w:val="594A2AEB"/>
    <w:rsid w:val="595930FB"/>
    <w:rsid w:val="595F7C29"/>
    <w:rsid w:val="597701F1"/>
    <w:rsid w:val="597C1F02"/>
    <w:rsid w:val="599D34E8"/>
    <w:rsid w:val="59AA606D"/>
    <w:rsid w:val="59BB5797"/>
    <w:rsid w:val="59C271C9"/>
    <w:rsid w:val="59D01975"/>
    <w:rsid w:val="59F023FC"/>
    <w:rsid w:val="59F2173A"/>
    <w:rsid w:val="5A1153B7"/>
    <w:rsid w:val="5A1A070F"/>
    <w:rsid w:val="5A240519"/>
    <w:rsid w:val="5A3A60B7"/>
    <w:rsid w:val="5A3D1234"/>
    <w:rsid w:val="5A421A14"/>
    <w:rsid w:val="5A5F26D4"/>
    <w:rsid w:val="5A6B3AB0"/>
    <w:rsid w:val="5AA06E1B"/>
    <w:rsid w:val="5AA81633"/>
    <w:rsid w:val="5AD7215D"/>
    <w:rsid w:val="5AD9338A"/>
    <w:rsid w:val="5AE33153"/>
    <w:rsid w:val="5AF25850"/>
    <w:rsid w:val="5B184523"/>
    <w:rsid w:val="5B247787"/>
    <w:rsid w:val="5B372BFB"/>
    <w:rsid w:val="5B3F0F1F"/>
    <w:rsid w:val="5B435774"/>
    <w:rsid w:val="5B5E4889"/>
    <w:rsid w:val="5B7E2B2B"/>
    <w:rsid w:val="5B7F55D4"/>
    <w:rsid w:val="5BA069F2"/>
    <w:rsid w:val="5BAF7E67"/>
    <w:rsid w:val="5BB3DA1A"/>
    <w:rsid w:val="5BBB3BA8"/>
    <w:rsid w:val="5BCC689E"/>
    <w:rsid w:val="5BCF12C3"/>
    <w:rsid w:val="5BDD7A02"/>
    <w:rsid w:val="5BF44F90"/>
    <w:rsid w:val="5BFA484F"/>
    <w:rsid w:val="5BFF442E"/>
    <w:rsid w:val="5C080FA9"/>
    <w:rsid w:val="5C352CCC"/>
    <w:rsid w:val="5C53EE61"/>
    <w:rsid w:val="5C5504D2"/>
    <w:rsid w:val="5C882ACB"/>
    <w:rsid w:val="5CA22C3E"/>
    <w:rsid w:val="5CB5471F"/>
    <w:rsid w:val="5CD34356"/>
    <w:rsid w:val="5CD54DC2"/>
    <w:rsid w:val="5CE24DE9"/>
    <w:rsid w:val="5D352F8E"/>
    <w:rsid w:val="5D4538A3"/>
    <w:rsid w:val="5D485594"/>
    <w:rsid w:val="5D557A09"/>
    <w:rsid w:val="5D696CE4"/>
    <w:rsid w:val="5D9562FF"/>
    <w:rsid w:val="5D972077"/>
    <w:rsid w:val="5DA36667"/>
    <w:rsid w:val="5DAF453C"/>
    <w:rsid w:val="5DC07E1D"/>
    <w:rsid w:val="5DCE7F62"/>
    <w:rsid w:val="5DDE928F"/>
    <w:rsid w:val="5DE45C74"/>
    <w:rsid w:val="5DE7DCF0"/>
    <w:rsid w:val="5DEE50E7"/>
    <w:rsid w:val="5DF6A660"/>
    <w:rsid w:val="5DFF070B"/>
    <w:rsid w:val="5E177445"/>
    <w:rsid w:val="5E343D6A"/>
    <w:rsid w:val="5E3BF01E"/>
    <w:rsid w:val="5E3FEA2B"/>
    <w:rsid w:val="5E5B2FBB"/>
    <w:rsid w:val="5E5E4943"/>
    <w:rsid w:val="5E964F94"/>
    <w:rsid w:val="5E980438"/>
    <w:rsid w:val="5EAA5DDA"/>
    <w:rsid w:val="5EAC2CE3"/>
    <w:rsid w:val="5EC94A7D"/>
    <w:rsid w:val="5ECE7F4F"/>
    <w:rsid w:val="5ED512C6"/>
    <w:rsid w:val="5EE78E25"/>
    <w:rsid w:val="5EEFBD2C"/>
    <w:rsid w:val="5EEFCF83"/>
    <w:rsid w:val="5EFF0CFA"/>
    <w:rsid w:val="5F105C3D"/>
    <w:rsid w:val="5F117361"/>
    <w:rsid w:val="5F1E9EDA"/>
    <w:rsid w:val="5F5226F9"/>
    <w:rsid w:val="5F57826F"/>
    <w:rsid w:val="5F691C22"/>
    <w:rsid w:val="5F6B63A8"/>
    <w:rsid w:val="5F877CC0"/>
    <w:rsid w:val="5F891462"/>
    <w:rsid w:val="5FA764C0"/>
    <w:rsid w:val="5FA8056B"/>
    <w:rsid w:val="5FC10D9A"/>
    <w:rsid w:val="5FC727A1"/>
    <w:rsid w:val="5FDBBE60"/>
    <w:rsid w:val="5FDF1DE0"/>
    <w:rsid w:val="5FDFC487"/>
    <w:rsid w:val="5FE13491"/>
    <w:rsid w:val="5FE1750C"/>
    <w:rsid w:val="5FED39DB"/>
    <w:rsid w:val="5FF373C6"/>
    <w:rsid w:val="5FF7A830"/>
    <w:rsid w:val="5FFB7DA1"/>
    <w:rsid w:val="5FFD7E57"/>
    <w:rsid w:val="5FFF3AB3"/>
    <w:rsid w:val="60025ECE"/>
    <w:rsid w:val="60285208"/>
    <w:rsid w:val="603718EF"/>
    <w:rsid w:val="603D6DB4"/>
    <w:rsid w:val="60530390"/>
    <w:rsid w:val="60687261"/>
    <w:rsid w:val="608947DC"/>
    <w:rsid w:val="608C7D6B"/>
    <w:rsid w:val="60CE0AA2"/>
    <w:rsid w:val="60D95347"/>
    <w:rsid w:val="60DD09F9"/>
    <w:rsid w:val="60EB48A3"/>
    <w:rsid w:val="61327D6B"/>
    <w:rsid w:val="615279A7"/>
    <w:rsid w:val="616747DD"/>
    <w:rsid w:val="617526CF"/>
    <w:rsid w:val="61790877"/>
    <w:rsid w:val="617A1B7C"/>
    <w:rsid w:val="61A15272"/>
    <w:rsid w:val="61AB60F1"/>
    <w:rsid w:val="61B009D1"/>
    <w:rsid w:val="61C15914"/>
    <w:rsid w:val="61CA759D"/>
    <w:rsid w:val="61D52193"/>
    <w:rsid w:val="61FB0E26"/>
    <w:rsid w:val="621A4158"/>
    <w:rsid w:val="62373108"/>
    <w:rsid w:val="623B56C7"/>
    <w:rsid w:val="62487C4B"/>
    <w:rsid w:val="62506A02"/>
    <w:rsid w:val="62555998"/>
    <w:rsid w:val="628E2B9F"/>
    <w:rsid w:val="62C67241"/>
    <w:rsid w:val="6306019D"/>
    <w:rsid w:val="63065E39"/>
    <w:rsid w:val="63232CC9"/>
    <w:rsid w:val="633A772C"/>
    <w:rsid w:val="633B16F7"/>
    <w:rsid w:val="63462575"/>
    <w:rsid w:val="635C5BCB"/>
    <w:rsid w:val="635F7984"/>
    <w:rsid w:val="637812DE"/>
    <w:rsid w:val="63AA629D"/>
    <w:rsid w:val="63E777BB"/>
    <w:rsid w:val="6477675E"/>
    <w:rsid w:val="64785203"/>
    <w:rsid w:val="64923598"/>
    <w:rsid w:val="64992B79"/>
    <w:rsid w:val="64A82DBC"/>
    <w:rsid w:val="64AA08E2"/>
    <w:rsid w:val="64AB51A4"/>
    <w:rsid w:val="64AC465A"/>
    <w:rsid w:val="64AE5DCB"/>
    <w:rsid w:val="64B67287"/>
    <w:rsid w:val="64D0100A"/>
    <w:rsid w:val="64DD15DF"/>
    <w:rsid w:val="64E43618"/>
    <w:rsid w:val="650669B1"/>
    <w:rsid w:val="653B778C"/>
    <w:rsid w:val="65515201"/>
    <w:rsid w:val="656B62C3"/>
    <w:rsid w:val="656F95CB"/>
    <w:rsid w:val="65772501"/>
    <w:rsid w:val="657C4CC0"/>
    <w:rsid w:val="658962FF"/>
    <w:rsid w:val="659B3A50"/>
    <w:rsid w:val="65AD24DB"/>
    <w:rsid w:val="65AD3286"/>
    <w:rsid w:val="65CD2ADA"/>
    <w:rsid w:val="65D5369F"/>
    <w:rsid w:val="65DC302A"/>
    <w:rsid w:val="65DC45DF"/>
    <w:rsid w:val="65F30A2B"/>
    <w:rsid w:val="65F71114"/>
    <w:rsid w:val="66570776"/>
    <w:rsid w:val="6668599C"/>
    <w:rsid w:val="66976C44"/>
    <w:rsid w:val="66A94465"/>
    <w:rsid w:val="66B15F58"/>
    <w:rsid w:val="66F347C2"/>
    <w:rsid w:val="66F43E73"/>
    <w:rsid w:val="66F66060"/>
    <w:rsid w:val="67210E21"/>
    <w:rsid w:val="672A3F5C"/>
    <w:rsid w:val="673D196D"/>
    <w:rsid w:val="676705B3"/>
    <w:rsid w:val="67B2BDE3"/>
    <w:rsid w:val="67DF2A36"/>
    <w:rsid w:val="67DF4363"/>
    <w:rsid w:val="67E747FB"/>
    <w:rsid w:val="67F02AB0"/>
    <w:rsid w:val="67F0485E"/>
    <w:rsid w:val="68127CAC"/>
    <w:rsid w:val="68294213"/>
    <w:rsid w:val="684E5A28"/>
    <w:rsid w:val="68567BF8"/>
    <w:rsid w:val="685A68BE"/>
    <w:rsid w:val="68784853"/>
    <w:rsid w:val="6897172A"/>
    <w:rsid w:val="68993147"/>
    <w:rsid w:val="68B166E3"/>
    <w:rsid w:val="68DE1099"/>
    <w:rsid w:val="68DF1251"/>
    <w:rsid w:val="68E634E8"/>
    <w:rsid w:val="68E9DB2B"/>
    <w:rsid w:val="694330B3"/>
    <w:rsid w:val="694A2693"/>
    <w:rsid w:val="695D5F23"/>
    <w:rsid w:val="698A6F34"/>
    <w:rsid w:val="69A320DB"/>
    <w:rsid w:val="69C51D1A"/>
    <w:rsid w:val="69DA29CD"/>
    <w:rsid w:val="69DC1BD1"/>
    <w:rsid w:val="69E178BF"/>
    <w:rsid w:val="69EC15D6"/>
    <w:rsid w:val="6A0C16F7"/>
    <w:rsid w:val="6A3053E5"/>
    <w:rsid w:val="6A5C144D"/>
    <w:rsid w:val="6A5D0610"/>
    <w:rsid w:val="6AA933EA"/>
    <w:rsid w:val="6AAE3476"/>
    <w:rsid w:val="6ABF6769"/>
    <w:rsid w:val="6AC77F7F"/>
    <w:rsid w:val="6AED1528"/>
    <w:rsid w:val="6B2B50BC"/>
    <w:rsid w:val="6B2C59DC"/>
    <w:rsid w:val="6B4B1E3D"/>
    <w:rsid w:val="6B94384F"/>
    <w:rsid w:val="6BAC44A5"/>
    <w:rsid w:val="6BC404DB"/>
    <w:rsid w:val="6BE309E6"/>
    <w:rsid w:val="6BED6C25"/>
    <w:rsid w:val="6BF8482C"/>
    <w:rsid w:val="6BFB133A"/>
    <w:rsid w:val="6C0841E4"/>
    <w:rsid w:val="6C094140"/>
    <w:rsid w:val="6C423AF6"/>
    <w:rsid w:val="6C454C4B"/>
    <w:rsid w:val="6C4DFAA5"/>
    <w:rsid w:val="6C554EC8"/>
    <w:rsid w:val="6C584936"/>
    <w:rsid w:val="6C5D448C"/>
    <w:rsid w:val="6CB202B7"/>
    <w:rsid w:val="6CB65BFE"/>
    <w:rsid w:val="6CEDC09F"/>
    <w:rsid w:val="6CF592B2"/>
    <w:rsid w:val="6D5FE277"/>
    <w:rsid w:val="6D6655C2"/>
    <w:rsid w:val="6D785A21"/>
    <w:rsid w:val="6D7B72BF"/>
    <w:rsid w:val="6D8433BC"/>
    <w:rsid w:val="6D885538"/>
    <w:rsid w:val="6DA2484C"/>
    <w:rsid w:val="6DEF55B7"/>
    <w:rsid w:val="6DF727CA"/>
    <w:rsid w:val="6DFB3F5C"/>
    <w:rsid w:val="6E123F12"/>
    <w:rsid w:val="6E2EECA6"/>
    <w:rsid w:val="6E480F08"/>
    <w:rsid w:val="6E6B164E"/>
    <w:rsid w:val="6E6B2034"/>
    <w:rsid w:val="6E8474D1"/>
    <w:rsid w:val="6E855B98"/>
    <w:rsid w:val="6E9F7E94"/>
    <w:rsid w:val="6EB1286D"/>
    <w:rsid w:val="6EB20ABF"/>
    <w:rsid w:val="6ECF5BB8"/>
    <w:rsid w:val="6ED70525"/>
    <w:rsid w:val="6EDD503B"/>
    <w:rsid w:val="6EE36ECA"/>
    <w:rsid w:val="6F046D30"/>
    <w:rsid w:val="6F241291"/>
    <w:rsid w:val="6F4F0A46"/>
    <w:rsid w:val="6F4F7C8F"/>
    <w:rsid w:val="6F9F478A"/>
    <w:rsid w:val="6FAD74D8"/>
    <w:rsid w:val="6FB645D5"/>
    <w:rsid w:val="6FBB39A3"/>
    <w:rsid w:val="6FBE1A60"/>
    <w:rsid w:val="6FBE565B"/>
    <w:rsid w:val="6FE72280"/>
    <w:rsid w:val="6FE7D5F6"/>
    <w:rsid w:val="6FEE29CF"/>
    <w:rsid w:val="6FEEC5A6"/>
    <w:rsid w:val="6FF6876A"/>
    <w:rsid w:val="6FF77322"/>
    <w:rsid w:val="6FF77F61"/>
    <w:rsid w:val="70043BDB"/>
    <w:rsid w:val="700679D6"/>
    <w:rsid w:val="703270C7"/>
    <w:rsid w:val="7053007F"/>
    <w:rsid w:val="70531ED5"/>
    <w:rsid w:val="7073586F"/>
    <w:rsid w:val="709269AE"/>
    <w:rsid w:val="70C9376D"/>
    <w:rsid w:val="7104203A"/>
    <w:rsid w:val="71104F85"/>
    <w:rsid w:val="712A1F38"/>
    <w:rsid w:val="712B617B"/>
    <w:rsid w:val="713E488C"/>
    <w:rsid w:val="71773D35"/>
    <w:rsid w:val="71787FD9"/>
    <w:rsid w:val="71802052"/>
    <w:rsid w:val="71844269"/>
    <w:rsid w:val="71DD22F7"/>
    <w:rsid w:val="71F25676"/>
    <w:rsid w:val="7234177C"/>
    <w:rsid w:val="72457EDA"/>
    <w:rsid w:val="72473609"/>
    <w:rsid w:val="72606A84"/>
    <w:rsid w:val="72614C18"/>
    <w:rsid w:val="7272748D"/>
    <w:rsid w:val="729D3834"/>
    <w:rsid w:val="72A5093A"/>
    <w:rsid w:val="72B113CE"/>
    <w:rsid w:val="72BC574B"/>
    <w:rsid w:val="72E3446A"/>
    <w:rsid w:val="731970B0"/>
    <w:rsid w:val="731B5C98"/>
    <w:rsid w:val="73337CF4"/>
    <w:rsid w:val="73554814"/>
    <w:rsid w:val="7367CFC6"/>
    <w:rsid w:val="73691968"/>
    <w:rsid w:val="73781E2A"/>
    <w:rsid w:val="737C169B"/>
    <w:rsid w:val="73974C13"/>
    <w:rsid w:val="73A23FED"/>
    <w:rsid w:val="73A9A0FE"/>
    <w:rsid w:val="73B50B9D"/>
    <w:rsid w:val="73B8399E"/>
    <w:rsid w:val="73BB2FE2"/>
    <w:rsid w:val="73DA06FA"/>
    <w:rsid w:val="73DFF914"/>
    <w:rsid w:val="73ED07EB"/>
    <w:rsid w:val="73FBD96C"/>
    <w:rsid w:val="73FF8890"/>
    <w:rsid w:val="741B0EB4"/>
    <w:rsid w:val="743313D8"/>
    <w:rsid w:val="74335A84"/>
    <w:rsid w:val="74380B51"/>
    <w:rsid w:val="74512B28"/>
    <w:rsid w:val="74652E24"/>
    <w:rsid w:val="747B5DF7"/>
    <w:rsid w:val="74842EFD"/>
    <w:rsid w:val="748F004B"/>
    <w:rsid w:val="74A0585D"/>
    <w:rsid w:val="74A643ED"/>
    <w:rsid w:val="74AC1BA1"/>
    <w:rsid w:val="74FB01D1"/>
    <w:rsid w:val="74FB2A94"/>
    <w:rsid w:val="7544443B"/>
    <w:rsid w:val="754461E9"/>
    <w:rsid w:val="754C66FC"/>
    <w:rsid w:val="7552606E"/>
    <w:rsid w:val="75575362"/>
    <w:rsid w:val="755F349B"/>
    <w:rsid w:val="757545F4"/>
    <w:rsid w:val="75783590"/>
    <w:rsid w:val="75DFD238"/>
    <w:rsid w:val="75F94539"/>
    <w:rsid w:val="75FD3C8F"/>
    <w:rsid w:val="75FF86F4"/>
    <w:rsid w:val="7614205F"/>
    <w:rsid w:val="763A3DB1"/>
    <w:rsid w:val="763B50C6"/>
    <w:rsid w:val="76483BFC"/>
    <w:rsid w:val="7663715E"/>
    <w:rsid w:val="766E0586"/>
    <w:rsid w:val="769304E7"/>
    <w:rsid w:val="76933762"/>
    <w:rsid w:val="769667E6"/>
    <w:rsid w:val="769F582D"/>
    <w:rsid w:val="76A07D97"/>
    <w:rsid w:val="76A50F09"/>
    <w:rsid w:val="76C1171E"/>
    <w:rsid w:val="76D11BF8"/>
    <w:rsid w:val="76D164BA"/>
    <w:rsid w:val="76DF7600"/>
    <w:rsid w:val="7715608F"/>
    <w:rsid w:val="773724A9"/>
    <w:rsid w:val="773F22A7"/>
    <w:rsid w:val="773F4DBF"/>
    <w:rsid w:val="77466345"/>
    <w:rsid w:val="775D9B88"/>
    <w:rsid w:val="77674BFC"/>
    <w:rsid w:val="7769462C"/>
    <w:rsid w:val="779FA59F"/>
    <w:rsid w:val="77B62F3E"/>
    <w:rsid w:val="77CBE3E9"/>
    <w:rsid w:val="77D47E28"/>
    <w:rsid w:val="77D55160"/>
    <w:rsid w:val="77DB72D8"/>
    <w:rsid w:val="77DF12D9"/>
    <w:rsid w:val="77E23F4F"/>
    <w:rsid w:val="77E616E5"/>
    <w:rsid w:val="77EB01FC"/>
    <w:rsid w:val="77EE7E77"/>
    <w:rsid w:val="77EF7AC0"/>
    <w:rsid w:val="77FF7F81"/>
    <w:rsid w:val="780E41D1"/>
    <w:rsid w:val="78174088"/>
    <w:rsid w:val="783E33C3"/>
    <w:rsid w:val="786A0F79"/>
    <w:rsid w:val="78D97A81"/>
    <w:rsid w:val="78FF1193"/>
    <w:rsid w:val="79164340"/>
    <w:rsid w:val="793B7903"/>
    <w:rsid w:val="795760CA"/>
    <w:rsid w:val="797C08AB"/>
    <w:rsid w:val="79813645"/>
    <w:rsid w:val="79A26DCA"/>
    <w:rsid w:val="79AE6327"/>
    <w:rsid w:val="79BF0851"/>
    <w:rsid w:val="79E955B1"/>
    <w:rsid w:val="79EA52F5"/>
    <w:rsid w:val="79F6541D"/>
    <w:rsid w:val="7A007F9E"/>
    <w:rsid w:val="7A2D36EF"/>
    <w:rsid w:val="7A4153ED"/>
    <w:rsid w:val="7A8A6D94"/>
    <w:rsid w:val="7A8D2CAF"/>
    <w:rsid w:val="7AC6289B"/>
    <w:rsid w:val="7AEB92DC"/>
    <w:rsid w:val="7B0979D0"/>
    <w:rsid w:val="7B2791C4"/>
    <w:rsid w:val="7B295ECE"/>
    <w:rsid w:val="7B8D7658"/>
    <w:rsid w:val="7B9D48A5"/>
    <w:rsid w:val="7B9FB2DE"/>
    <w:rsid w:val="7BBBC392"/>
    <w:rsid w:val="7BBC2F7D"/>
    <w:rsid w:val="7BBFBC51"/>
    <w:rsid w:val="7BC505FD"/>
    <w:rsid w:val="7BCB31C0"/>
    <w:rsid w:val="7BCC7EF1"/>
    <w:rsid w:val="7BD04C7A"/>
    <w:rsid w:val="7BDD797B"/>
    <w:rsid w:val="7BEC3136"/>
    <w:rsid w:val="7BEF912F"/>
    <w:rsid w:val="7BF7BE2C"/>
    <w:rsid w:val="7BFB6BC2"/>
    <w:rsid w:val="7BFD3595"/>
    <w:rsid w:val="7C067CC4"/>
    <w:rsid w:val="7C3051CE"/>
    <w:rsid w:val="7C550050"/>
    <w:rsid w:val="7C7F5DFF"/>
    <w:rsid w:val="7CC8489E"/>
    <w:rsid w:val="7CCBDF36"/>
    <w:rsid w:val="7CCD2078"/>
    <w:rsid w:val="7CE93013"/>
    <w:rsid w:val="7CEF376C"/>
    <w:rsid w:val="7CF71F3E"/>
    <w:rsid w:val="7CFE6DF0"/>
    <w:rsid w:val="7CFF2C14"/>
    <w:rsid w:val="7D00333D"/>
    <w:rsid w:val="7D25556D"/>
    <w:rsid w:val="7D3DE5ED"/>
    <w:rsid w:val="7D3F62B0"/>
    <w:rsid w:val="7D4BD6E4"/>
    <w:rsid w:val="7D5E7E3F"/>
    <w:rsid w:val="7D6C909B"/>
    <w:rsid w:val="7D7C1468"/>
    <w:rsid w:val="7D7F44B9"/>
    <w:rsid w:val="7D7FCE3D"/>
    <w:rsid w:val="7D85447B"/>
    <w:rsid w:val="7D883202"/>
    <w:rsid w:val="7D91845B"/>
    <w:rsid w:val="7DA7DCAE"/>
    <w:rsid w:val="7DC425BD"/>
    <w:rsid w:val="7DCA3EE2"/>
    <w:rsid w:val="7DD16CC1"/>
    <w:rsid w:val="7DD7FA30"/>
    <w:rsid w:val="7DDAA6C9"/>
    <w:rsid w:val="7DDF4034"/>
    <w:rsid w:val="7DE53FC7"/>
    <w:rsid w:val="7DFE1547"/>
    <w:rsid w:val="7E1105A1"/>
    <w:rsid w:val="7E2E3B63"/>
    <w:rsid w:val="7E586F16"/>
    <w:rsid w:val="7E6D27C6"/>
    <w:rsid w:val="7E7A0ECD"/>
    <w:rsid w:val="7E8104AE"/>
    <w:rsid w:val="7EB20667"/>
    <w:rsid w:val="7EB70647"/>
    <w:rsid w:val="7EB78E4C"/>
    <w:rsid w:val="7EBA1AA5"/>
    <w:rsid w:val="7EBF7457"/>
    <w:rsid w:val="7EBF9016"/>
    <w:rsid w:val="7EBFE7D3"/>
    <w:rsid w:val="7EC375C3"/>
    <w:rsid w:val="7EDBEC25"/>
    <w:rsid w:val="7EE3FC10"/>
    <w:rsid w:val="7EEF40D6"/>
    <w:rsid w:val="7EFB7712"/>
    <w:rsid w:val="7EFC5B0D"/>
    <w:rsid w:val="7F1809C7"/>
    <w:rsid w:val="7F2F7F0A"/>
    <w:rsid w:val="7F4852D5"/>
    <w:rsid w:val="7F5524F8"/>
    <w:rsid w:val="7F5592C8"/>
    <w:rsid w:val="7F588807"/>
    <w:rsid w:val="7F6735EB"/>
    <w:rsid w:val="7F67FA15"/>
    <w:rsid w:val="7F704811"/>
    <w:rsid w:val="7F722BA9"/>
    <w:rsid w:val="7F73320A"/>
    <w:rsid w:val="7F743B6E"/>
    <w:rsid w:val="7F7922D8"/>
    <w:rsid w:val="7F7E58BB"/>
    <w:rsid w:val="7F7FED93"/>
    <w:rsid w:val="7F932247"/>
    <w:rsid w:val="7F9E374B"/>
    <w:rsid w:val="7FA773E3"/>
    <w:rsid w:val="7FA7BE4A"/>
    <w:rsid w:val="7FA91A6A"/>
    <w:rsid w:val="7FBB019E"/>
    <w:rsid w:val="7FBF4902"/>
    <w:rsid w:val="7FBF617A"/>
    <w:rsid w:val="7FC152E3"/>
    <w:rsid w:val="7FD7066C"/>
    <w:rsid w:val="7FD8234F"/>
    <w:rsid w:val="7FDA1162"/>
    <w:rsid w:val="7FDE9C03"/>
    <w:rsid w:val="7FE34250"/>
    <w:rsid w:val="7FE358CA"/>
    <w:rsid w:val="7FE7A405"/>
    <w:rsid w:val="7FEE7BD3"/>
    <w:rsid w:val="7FEF396C"/>
    <w:rsid w:val="7FEF6D24"/>
    <w:rsid w:val="7FEF9669"/>
    <w:rsid w:val="7FEFB04B"/>
    <w:rsid w:val="7FF5364D"/>
    <w:rsid w:val="7FFAE1C3"/>
    <w:rsid w:val="7FFB0500"/>
    <w:rsid w:val="7FFB2EEA"/>
    <w:rsid w:val="7FFD94B9"/>
    <w:rsid w:val="7FFE0719"/>
    <w:rsid w:val="7FFE511B"/>
    <w:rsid w:val="7FFF3B42"/>
    <w:rsid w:val="7FFF78DC"/>
    <w:rsid w:val="7FFF8D0F"/>
    <w:rsid w:val="7FFFE92E"/>
    <w:rsid w:val="7FFFF2FA"/>
    <w:rsid w:val="8BEE3622"/>
    <w:rsid w:val="8F4E9F30"/>
    <w:rsid w:val="917B3387"/>
    <w:rsid w:val="9829167C"/>
    <w:rsid w:val="9ADFF016"/>
    <w:rsid w:val="9AEEE8C8"/>
    <w:rsid w:val="9D9B5B06"/>
    <w:rsid w:val="9DF3045E"/>
    <w:rsid w:val="9EC9B592"/>
    <w:rsid w:val="9F5F6A5D"/>
    <w:rsid w:val="9FFB93B8"/>
    <w:rsid w:val="A3F5DE37"/>
    <w:rsid w:val="AAFF3B05"/>
    <w:rsid w:val="ABBEC6B5"/>
    <w:rsid w:val="AE5B2BD4"/>
    <w:rsid w:val="AE6F0C61"/>
    <w:rsid w:val="AFCB8E45"/>
    <w:rsid w:val="B3EF55F7"/>
    <w:rsid w:val="B5DF0AF1"/>
    <w:rsid w:val="B6CE0DE7"/>
    <w:rsid w:val="B7D5B379"/>
    <w:rsid w:val="B7FD8847"/>
    <w:rsid w:val="BB3F096F"/>
    <w:rsid w:val="BBD570B6"/>
    <w:rsid w:val="BBDFF8AF"/>
    <w:rsid w:val="BCF30FD1"/>
    <w:rsid w:val="BD7F5DBE"/>
    <w:rsid w:val="BEAD5583"/>
    <w:rsid w:val="BEBFB198"/>
    <w:rsid w:val="BEFD19CA"/>
    <w:rsid w:val="BEFF68D3"/>
    <w:rsid w:val="BEFF9E06"/>
    <w:rsid w:val="BF3B4C67"/>
    <w:rsid w:val="BF5FF552"/>
    <w:rsid w:val="BF7BC2EB"/>
    <w:rsid w:val="BF8E080A"/>
    <w:rsid w:val="BFA10BFD"/>
    <w:rsid w:val="BFBB4D78"/>
    <w:rsid w:val="BFD8346C"/>
    <w:rsid w:val="BFDE1856"/>
    <w:rsid w:val="BFDFAC6E"/>
    <w:rsid w:val="BFEDCF27"/>
    <w:rsid w:val="BFF35850"/>
    <w:rsid w:val="BFF7EF90"/>
    <w:rsid w:val="BFFF8FCE"/>
    <w:rsid w:val="C5F12182"/>
    <w:rsid w:val="C9FB5B43"/>
    <w:rsid w:val="CB9B7207"/>
    <w:rsid w:val="CBFEFED3"/>
    <w:rsid w:val="CDBDD0C7"/>
    <w:rsid w:val="CEFC0293"/>
    <w:rsid w:val="CFA2E80B"/>
    <w:rsid w:val="CFEEE09A"/>
    <w:rsid w:val="D3CD2038"/>
    <w:rsid w:val="D5FF23A4"/>
    <w:rsid w:val="D7FCFD7F"/>
    <w:rsid w:val="D9FEB3CD"/>
    <w:rsid w:val="DA5D732A"/>
    <w:rsid w:val="DA691CB6"/>
    <w:rsid w:val="DBFFBD2F"/>
    <w:rsid w:val="DBFFECC9"/>
    <w:rsid w:val="DDF35867"/>
    <w:rsid w:val="DDFE9F32"/>
    <w:rsid w:val="DE7A48A7"/>
    <w:rsid w:val="DEDB6CCB"/>
    <w:rsid w:val="DEDD962F"/>
    <w:rsid w:val="DEDFA509"/>
    <w:rsid w:val="DEF619AC"/>
    <w:rsid w:val="DEFED6B0"/>
    <w:rsid w:val="DF0177DC"/>
    <w:rsid w:val="DF1B20D9"/>
    <w:rsid w:val="DF5FB82A"/>
    <w:rsid w:val="DF5FB8CC"/>
    <w:rsid w:val="DF7B4DA5"/>
    <w:rsid w:val="DFB35592"/>
    <w:rsid w:val="DFBBBCB3"/>
    <w:rsid w:val="DFBFEB53"/>
    <w:rsid w:val="DFBFECCB"/>
    <w:rsid w:val="DFCB9A43"/>
    <w:rsid w:val="DFDD15D4"/>
    <w:rsid w:val="DFDEF157"/>
    <w:rsid w:val="DFDF6E3F"/>
    <w:rsid w:val="DFDFA35E"/>
    <w:rsid w:val="DFFA5BD1"/>
    <w:rsid w:val="DFFF3D96"/>
    <w:rsid w:val="E2DC142D"/>
    <w:rsid w:val="E2FE688C"/>
    <w:rsid w:val="E37FDA42"/>
    <w:rsid w:val="E77E58DD"/>
    <w:rsid w:val="E782F5B0"/>
    <w:rsid w:val="E7BBD7D8"/>
    <w:rsid w:val="E7EF32D6"/>
    <w:rsid w:val="E91E0725"/>
    <w:rsid w:val="E9BD7041"/>
    <w:rsid w:val="EA0313C4"/>
    <w:rsid w:val="EAEF0C70"/>
    <w:rsid w:val="EAF1972D"/>
    <w:rsid w:val="EBA3C8BB"/>
    <w:rsid w:val="EBBFC291"/>
    <w:rsid w:val="EBF3A733"/>
    <w:rsid w:val="ECA5DD41"/>
    <w:rsid w:val="ECFF4F06"/>
    <w:rsid w:val="ED5FF602"/>
    <w:rsid w:val="ED9BFFDC"/>
    <w:rsid w:val="EDB7EACC"/>
    <w:rsid w:val="EDEF7F4A"/>
    <w:rsid w:val="EEAB8848"/>
    <w:rsid w:val="EEBFBCA4"/>
    <w:rsid w:val="EEDEE166"/>
    <w:rsid w:val="EF4F775A"/>
    <w:rsid w:val="EF6F0995"/>
    <w:rsid w:val="EF7EFC2F"/>
    <w:rsid w:val="EF93740C"/>
    <w:rsid w:val="EFBB40A0"/>
    <w:rsid w:val="EFBB8067"/>
    <w:rsid w:val="EFF77833"/>
    <w:rsid w:val="EFFD524A"/>
    <w:rsid w:val="EFFD8DDA"/>
    <w:rsid w:val="EFFDDFAF"/>
    <w:rsid w:val="F0F1F1B5"/>
    <w:rsid w:val="F1FBA1A7"/>
    <w:rsid w:val="F25F716F"/>
    <w:rsid w:val="F2FF2B03"/>
    <w:rsid w:val="F336F28E"/>
    <w:rsid w:val="F3FDF00B"/>
    <w:rsid w:val="F5EFC62C"/>
    <w:rsid w:val="F65FC9C6"/>
    <w:rsid w:val="F67388BE"/>
    <w:rsid w:val="F6F7C9A2"/>
    <w:rsid w:val="F6FA7CDA"/>
    <w:rsid w:val="F6FF4ABE"/>
    <w:rsid w:val="F755390B"/>
    <w:rsid w:val="F7BF7139"/>
    <w:rsid w:val="F7DBDB6C"/>
    <w:rsid w:val="F7DEB2C0"/>
    <w:rsid w:val="F7E5021E"/>
    <w:rsid w:val="F7EBA0AF"/>
    <w:rsid w:val="F7F33145"/>
    <w:rsid w:val="F7FEB153"/>
    <w:rsid w:val="F87F0A99"/>
    <w:rsid w:val="F9DFF5A2"/>
    <w:rsid w:val="F9EFF912"/>
    <w:rsid w:val="F9F7C95A"/>
    <w:rsid w:val="F9FB3F6F"/>
    <w:rsid w:val="F9FF817F"/>
    <w:rsid w:val="FB177AA7"/>
    <w:rsid w:val="FB76E4E6"/>
    <w:rsid w:val="FB770C02"/>
    <w:rsid w:val="FB7BCBE6"/>
    <w:rsid w:val="FB9BAC33"/>
    <w:rsid w:val="FBBE905F"/>
    <w:rsid w:val="FBBEC1B1"/>
    <w:rsid w:val="FBD7E706"/>
    <w:rsid w:val="FBDA54A7"/>
    <w:rsid w:val="FBDF2B0A"/>
    <w:rsid w:val="FBE79824"/>
    <w:rsid w:val="FBEB3858"/>
    <w:rsid w:val="FBF7462A"/>
    <w:rsid w:val="FBF9D035"/>
    <w:rsid w:val="FBFB0417"/>
    <w:rsid w:val="FBFBC3D8"/>
    <w:rsid w:val="FBFBE903"/>
    <w:rsid w:val="FBFFCD4F"/>
    <w:rsid w:val="FD366E64"/>
    <w:rsid w:val="FD7E5D1A"/>
    <w:rsid w:val="FDBBC9F7"/>
    <w:rsid w:val="FDBFC378"/>
    <w:rsid w:val="FDBFF5BD"/>
    <w:rsid w:val="FDDF43B3"/>
    <w:rsid w:val="FDE3DC4A"/>
    <w:rsid w:val="FDEF9216"/>
    <w:rsid w:val="FDFA0A89"/>
    <w:rsid w:val="FDFAE289"/>
    <w:rsid w:val="FDFB4567"/>
    <w:rsid w:val="FDFF1180"/>
    <w:rsid w:val="FDFF412E"/>
    <w:rsid w:val="FDFF758F"/>
    <w:rsid w:val="FDFFCBF3"/>
    <w:rsid w:val="FDFFDB59"/>
    <w:rsid w:val="FE4EB3BB"/>
    <w:rsid w:val="FE518181"/>
    <w:rsid w:val="FE6E02E1"/>
    <w:rsid w:val="FEC69DBD"/>
    <w:rsid w:val="FED7C593"/>
    <w:rsid w:val="FED97083"/>
    <w:rsid w:val="FEE5027E"/>
    <w:rsid w:val="FEEF20AB"/>
    <w:rsid w:val="FEF75521"/>
    <w:rsid w:val="FEFB19F1"/>
    <w:rsid w:val="FEFB2FE3"/>
    <w:rsid w:val="FF1FA66A"/>
    <w:rsid w:val="FF37D6EC"/>
    <w:rsid w:val="FF3D745F"/>
    <w:rsid w:val="FF634A9F"/>
    <w:rsid w:val="FF6BE4A0"/>
    <w:rsid w:val="FF6D2383"/>
    <w:rsid w:val="FF772517"/>
    <w:rsid w:val="FF77A306"/>
    <w:rsid w:val="FF7E01E9"/>
    <w:rsid w:val="FF7E8E41"/>
    <w:rsid w:val="FF968253"/>
    <w:rsid w:val="FFBB8F79"/>
    <w:rsid w:val="FFC91B7B"/>
    <w:rsid w:val="FFCCB00B"/>
    <w:rsid w:val="FFD75704"/>
    <w:rsid w:val="FFDF011A"/>
    <w:rsid w:val="FFE40C20"/>
    <w:rsid w:val="FFE46C5F"/>
    <w:rsid w:val="FFEEA007"/>
    <w:rsid w:val="FFEF0EA9"/>
    <w:rsid w:val="FFEF4645"/>
    <w:rsid w:val="FFEF8B54"/>
    <w:rsid w:val="FFFD4756"/>
    <w:rsid w:val="FFFDF600"/>
    <w:rsid w:val="FFFE6DE3"/>
    <w:rsid w:val="FFFEC16D"/>
    <w:rsid w:val="FFFF3B17"/>
    <w:rsid w:val="FFFFA57F"/>
    <w:rsid w:val="FFFFAE4E"/>
    <w:rsid w:val="FFFFD82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semiHidden="0" w:name="heading 4"/>
    <w:lsdException w:qFormat="1" w:uiPriority="0"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iPriority="99" w:semiHidden="0" w:name="index heading"/>
    <w:lsdException w:qFormat="1"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qFormat="1" w:uiPriority="99" w:name="List"/>
    <w:lsdException w:qFormat="1" w:uiPriority="0" w:semiHidden="0" w:name="List Bullet"/>
    <w:lsdException w:qFormat="1" w:uiPriority="0" w:semiHidden="0" w:name="List Number"/>
    <w:lsdException w:qFormat="1"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iPriority="99" w:semiHidden="0" w:name="Date"/>
    <w:lsdException w:qFormat="1" w:uiPriority="0" w:semiHidden="0" w:name="Body Text First Indent"/>
    <w:lsdException w:qFormat="1" w:uiPriority="99" w:semiHidden="0" w:name="Body Text First Indent 2"/>
    <w:lsdException w:uiPriority="99" w:name="Note Heading"/>
    <w:lsdException w:qFormat="1" w:uiPriority="0" w:semiHidden="0" w:name="Body Text 2"/>
    <w:lsdException w:qFormat="1" w:uiPriority="0" w:semiHidden="0" w:name="Body Text 3"/>
    <w:lsdException w:qFormat="1" w:uiPriority="0" w:semiHidden="0" w:name="Body Text Indent 2"/>
    <w:lsdException w:qFormat="1" w:uiPriority="0" w:semiHidden="0" w:name="Body Text Indent 3"/>
    <w:lsdException w:qFormat="1"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qFormat="1" w:uiPriority="0" w:name="HTML Code"/>
    <w:lsdException w:qFormat="1" w:uiPriority="0" w:name="HTML Definition"/>
    <w:lsdException w:qFormat="1" w:uiPriority="0" w:name="HTML Keyboard"/>
    <w:lsdException w:qFormat="1" w:uiPriority="0" w:semiHidden="0" w:name="HTML Preformatted"/>
    <w:lsdException w:qFormat="1" w:uiPriority="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qFormat="1" w:uiPriority="99" w:name="Table Theme"/>
    <w:lsdException w:qFormat="1" w:unhideWhenUsed="0" w:uiPriority="99" w:semiHidden="0" w:name="Placeholder Text"/>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qFormat="1" w:unhideWhenUsed="0" w:uiPriority="0"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qFormat="1" w:unhideWhenUsed="0" w:uiPriority="0"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qFormat="1" w:unhideWhenUsed="0" w:uiPriority="0"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qFormat="1" w:unhideWhenUsed="0" w:uiPriority="0"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qFormat="1" w:unhideWhenUsed="0" w:uiPriority="0"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86"/>
    <w:qFormat/>
    <w:uiPriority w:val="0"/>
    <w:pPr>
      <w:keepNext/>
      <w:keepLines/>
      <w:widowControl/>
      <w:tabs>
        <w:tab w:val="left" w:pos="1440"/>
      </w:tabs>
      <w:spacing w:beforeLines="250" w:line="360" w:lineRule="auto"/>
      <w:jc w:val="center"/>
      <w:outlineLvl w:val="0"/>
    </w:pPr>
    <w:rPr>
      <w:rFonts w:ascii="Times New Roman" w:hAnsi="Times New Roman" w:eastAsia="黑体" w:cs="Times New Roman"/>
      <w:b/>
      <w:bCs/>
      <w:kern w:val="44"/>
      <w:sz w:val="52"/>
      <w:szCs w:val="20"/>
    </w:rPr>
  </w:style>
  <w:style w:type="paragraph" w:styleId="5">
    <w:name w:val="heading 2"/>
    <w:basedOn w:val="1"/>
    <w:next w:val="1"/>
    <w:link w:val="87"/>
    <w:unhideWhenUsed/>
    <w:qFormat/>
    <w:uiPriority w:val="9"/>
    <w:pPr>
      <w:keepNext/>
      <w:keepLines/>
      <w:spacing w:before="260" w:after="260" w:line="408" w:lineRule="auto"/>
      <w:outlineLvl w:val="1"/>
    </w:pPr>
    <w:rPr>
      <w:rFonts w:eastAsia="黑体"/>
      <w:b/>
      <w:sz w:val="32"/>
      <w:szCs w:val="20"/>
    </w:rPr>
  </w:style>
  <w:style w:type="paragraph" w:styleId="6">
    <w:name w:val="heading 3"/>
    <w:basedOn w:val="1"/>
    <w:next w:val="1"/>
    <w:link w:val="88"/>
    <w:unhideWhenUsed/>
    <w:qFormat/>
    <w:uiPriority w:val="0"/>
    <w:pPr>
      <w:keepNext/>
      <w:keepLines/>
      <w:widowControl/>
      <w:tabs>
        <w:tab w:val="left" w:pos="567"/>
      </w:tabs>
      <w:spacing w:beforeLines="50" w:line="360" w:lineRule="auto"/>
      <w:jc w:val="left"/>
      <w:outlineLvl w:val="2"/>
    </w:pPr>
    <w:rPr>
      <w:rFonts w:ascii="Times New Roman" w:hAnsi="Times New Roman" w:eastAsia="黑体" w:cs="Times New Roman"/>
      <w:b/>
      <w:bCs/>
      <w:sz w:val="36"/>
      <w:szCs w:val="36"/>
    </w:rPr>
  </w:style>
  <w:style w:type="paragraph" w:styleId="7">
    <w:name w:val="heading 4"/>
    <w:basedOn w:val="1"/>
    <w:next w:val="1"/>
    <w:link w:val="89"/>
    <w:unhideWhenUsed/>
    <w:qFormat/>
    <w:uiPriority w:val="0"/>
    <w:pPr>
      <w:keepNext/>
      <w:keepLines/>
      <w:widowControl/>
      <w:tabs>
        <w:tab w:val="left" w:pos="-420"/>
      </w:tabs>
      <w:spacing w:beforeLines="50" w:line="360" w:lineRule="auto"/>
      <w:jc w:val="left"/>
      <w:outlineLvl w:val="3"/>
    </w:pPr>
    <w:rPr>
      <w:rFonts w:ascii="Arial" w:hAnsi="Arial" w:eastAsia="黑体" w:cs="Times New Roman"/>
      <w:b/>
      <w:bCs/>
      <w:sz w:val="30"/>
      <w:szCs w:val="28"/>
    </w:rPr>
  </w:style>
  <w:style w:type="paragraph" w:styleId="8">
    <w:name w:val="heading 5"/>
    <w:basedOn w:val="1"/>
    <w:next w:val="1"/>
    <w:link w:val="90"/>
    <w:unhideWhenUsed/>
    <w:qFormat/>
    <w:uiPriority w:val="0"/>
    <w:pPr>
      <w:keepNext/>
      <w:keepLines/>
      <w:widowControl/>
      <w:tabs>
        <w:tab w:val="left" w:pos="-420"/>
      </w:tabs>
      <w:spacing w:beforeLines="50" w:line="376" w:lineRule="auto"/>
      <w:jc w:val="left"/>
      <w:outlineLvl w:val="4"/>
    </w:pPr>
    <w:rPr>
      <w:rFonts w:ascii="Times New Roman" w:hAnsi="Times New Roman" w:eastAsia="宋体" w:cs="Times New Roman"/>
      <w:b/>
      <w:bCs/>
      <w:sz w:val="28"/>
      <w:szCs w:val="28"/>
    </w:rPr>
  </w:style>
  <w:style w:type="paragraph" w:styleId="9">
    <w:name w:val="heading 6"/>
    <w:basedOn w:val="1"/>
    <w:next w:val="1"/>
    <w:link w:val="91"/>
    <w:unhideWhenUsed/>
    <w:qFormat/>
    <w:uiPriority w:val="9"/>
    <w:pPr>
      <w:keepNext/>
      <w:keepLines/>
      <w:spacing w:line="316" w:lineRule="auto"/>
      <w:outlineLvl w:val="5"/>
    </w:pPr>
    <w:rPr>
      <w:rFonts w:ascii="Arial" w:hAnsi="Arial" w:eastAsia="黑体" w:cs="Times New Roman"/>
      <w:b/>
      <w:sz w:val="24"/>
      <w:szCs w:val="24"/>
    </w:rPr>
  </w:style>
  <w:style w:type="paragraph" w:styleId="10">
    <w:name w:val="heading 7"/>
    <w:basedOn w:val="1"/>
    <w:next w:val="1"/>
    <w:link w:val="92"/>
    <w:unhideWhenUsed/>
    <w:qFormat/>
    <w:uiPriority w:val="9"/>
    <w:pPr>
      <w:keepNext/>
      <w:keepLines/>
      <w:spacing w:before="240" w:after="64" w:line="319" w:lineRule="auto"/>
      <w:outlineLvl w:val="6"/>
    </w:pPr>
    <w:rPr>
      <w:rFonts w:ascii="Times New Roman" w:hAnsi="Times New Roman" w:eastAsia="黑体"/>
      <w:sz w:val="24"/>
      <w:szCs w:val="21"/>
    </w:rPr>
  </w:style>
  <w:style w:type="paragraph" w:styleId="11">
    <w:name w:val="heading 8"/>
    <w:basedOn w:val="1"/>
    <w:next w:val="1"/>
    <w:link w:val="93"/>
    <w:unhideWhenUsed/>
    <w:qFormat/>
    <w:uiPriority w:val="9"/>
    <w:pPr>
      <w:keepNext/>
      <w:keepLines/>
      <w:spacing w:before="240" w:after="64" w:line="319" w:lineRule="auto"/>
      <w:outlineLvl w:val="7"/>
    </w:pPr>
    <w:rPr>
      <w:rFonts w:ascii="Times New Roman" w:hAnsi="Times New Roman" w:eastAsia="黑体" w:cs="Times New Roman"/>
      <w:bCs/>
      <w:sz w:val="24"/>
      <w:szCs w:val="32"/>
    </w:rPr>
  </w:style>
  <w:style w:type="paragraph" w:styleId="12">
    <w:name w:val="heading 9"/>
    <w:basedOn w:val="1"/>
    <w:next w:val="1"/>
    <w:link w:val="94"/>
    <w:unhideWhenUsed/>
    <w:qFormat/>
    <w:uiPriority w:val="9"/>
    <w:pPr>
      <w:keepNext/>
      <w:keepLines/>
      <w:spacing w:before="240" w:after="64" w:line="319" w:lineRule="auto"/>
      <w:outlineLvl w:val="8"/>
    </w:pPr>
    <w:rPr>
      <w:rFonts w:ascii="Times New Roman" w:hAnsi="Times New Roman" w:eastAsia="黑体"/>
      <w:sz w:val="24"/>
      <w:szCs w:val="21"/>
    </w:rPr>
  </w:style>
  <w:style w:type="character" w:default="1" w:styleId="70">
    <w:name w:val="Default Paragraph Font"/>
    <w:semiHidden/>
    <w:unhideWhenUsed/>
    <w:qFormat/>
    <w:uiPriority w:val="1"/>
  </w:style>
  <w:style w:type="table" w:default="1" w:styleId="6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09"/>
    <w:unhideWhenUsed/>
    <w:qFormat/>
    <w:uiPriority w:val="99"/>
    <w:pPr>
      <w:spacing w:after="120" w:line="240" w:lineRule="auto"/>
      <w:ind w:left="420" w:leftChars="200" w:firstLine="420" w:firstLineChars="200"/>
    </w:pPr>
    <w:rPr>
      <w:rFonts w:ascii="Calibri" w:hAnsi="Calibri"/>
      <w:spacing w:val="0"/>
      <w:kern w:val="2"/>
      <w:sz w:val="21"/>
      <w:szCs w:val="24"/>
    </w:rPr>
  </w:style>
  <w:style w:type="paragraph" w:styleId="3">
    <w:name w:val="Body Text Indent"/>
    <w:basedOn w:val="1"/>
    <w:link w:val="112"/>
    <w:unhideWhenUsed/>
    <w:qFormat/>
    <w:uiPriority w:val="99"/>
    <w:pPr>
      <w:spacing w:line="200" w:lineRule="exact"/>
      <w:ind w:firstLine="301"/>
    </w:pPr>
    <w:rPr>
      <w:rFonts w:ascii="宋体" w:hAnsi="Courier New" w:eastAsia="宋体" w:cs="Times New Roman"/>
      <w:spacing w:val="-4"/>
      <w:kern w:val="0"/>
      <w:sz w:val="18"/>
    </w:rPr>
  </w:style>
  <w:style w:type="paragraph" w:styleId="13">
    <w:name w:val="List 3"/>
    <w:basedOn w:val="1"/>
    <w:qFormat/>
    <w:uiPriority w:val="0"/>
    <w:pPr>
      <w:widowControl/>
      <w:ind w:left="100" w:leftChars="400" w:hanging="200" w:hangingChars="200"/>
      <w:jc w:val="left"/>
    </w:pPr>
    <w:rPr>
      <w:rFonts w:ascii="Calibri" w:hAnsi="Calibri" w:eastAsia="宋体" w:cs="Times New Roman"/>
      <w:szCs w:val="24"/>
    </w:rPr>
  </w:style>
  <w:style w:type="paragraph" w:styleId="14">
    <w:name w:val="toc 7"/>
    <w:basedOn w:val="1"/>
    <w:next w:val="1"/>
    <w:qFormat/>
    <w:uiPriority w:val="39"/>
    <w:pPr>
      <w:ind w:left="1260"/>
      <w:jc w:val="left"/>
    </w:pPr>
    <w:rPr>
      <w:rFonts w:ascii="Calibri" w:hAnsi="Calibri" w:eastAsia="宋体" w:cs="Calibri"/>
      <w:sz w:val="18"/>
      <w:szCs w:val="18"/>
    </w:rPr>
  </w:style>
  <w:style w:type="paragraph" w:styleId="15">
    <w:name w:val="List Number 2"/>
    <w:basedOn w:val="1"/>
    <w:qFormat/>
    <w:uiPriority w:val="0"/>
    <w:pPr>
      <w:widowControl/>
      <w:tabs>
        <w:tab w:val="left" w:pos="360"/>
      </w:tabs>
      <w:snapToGrid w:val="0"/>
      <w:ind w:left="360" w:right="709" w:hanging="360"/>
      <w:jc w:val="left"/>
    </w:pPr>
    <w:rPr>
      <w:rFonts w:ascii="Calibri" w:hAnsi="Calibri" w:eastAsia="2OcuAe" w:cs="Times New Roman"/>
      <w:spacing w:val="2"/>
      <w:kern w:val="0"/>
      <w:sz w:val="20"/>
      <w:szCs w:val="20"/>
      <w:lang w:eastAsia="zh-TW"/>
    </w:rPr>
  </w:style>
  <w:style w:type="paragraph" w:styleId="16">
    <w:name w:val="List Bullet 4"/>
    <w:basedOn w:val="1"/>
    <w:qFormat/>
    <w:uiPriority w:val="0"/>
    <w:pPr>
      <w:widowControl/>
      <w:tabs>
        <w:tab w:val="left" w:pos="885"/>
      </w:tabs>
      <w:snapToGrid w:val="0"/>
      <w:ind w:left="885" w:right="709" w:hanging="885"/>
      <w:jc w:val="left"/>
    </w:pPr>
    <w:rPr>
      <w:rFonts w:ascii="Calibri" w:hAnsi="Calibri" w:eastAsia="2OcuAe" w:cs="Times New Roman"/>
      <w:spacing w:val="2"/>
      <w:kern w:val="0"/>
      <w:sz w:val="20"/>
      <w:szCs w:val="20"/>
      <w:lang w:eastAsia="zh-TW"/>
    </w:rPr>
  </w:style>
  <w:style w:type="paragraph" w:styleId="17">
    <w:name w:val="List Number"/>
    <w:basedOn w:val="1"/>
    <w:unhideWhenUsed/>
    <w:qFormat/>
    <w:uiPriority w:val="0"/>
    <w:pPr>
      <w:tabs>
        <w:tab w:val="left" w:pos="360"/>
      </w:tabs>
      <w:ind w:left="360" w:hanging="360"/>
    </w:pPr>
    <w:rPr>
      <w:rFonts w:ascii="Times New Roman" w:hAnsi="Times New Roman" w:eastAsia="宋体" w:cs="Times New Roman"/>
    </w:rPr>
  </w:style>
  <w:style w:type="paragraph" w:styleId="18">
    <w:name w:val="Normal Indent"/>
    <w:basedOn w:val="1"/>
    <w:link w:val="110"/>
    <w:unhideWhenUsed/>
    <w:qFormat/>
    <w:uiPriority w:val="0"/>
    <w:pPr>
      <w:ind w:firstLine="420"/>
    </w:pPr>
    <w:rPr>
      <w:rFonts w:ascii="Times New Roman" w:hAnsi="Times New Roman" w:eastAsia="宋体" w:cs="Times New Roman"/>
      <w:kern w:val="0"/>
      <w:sz w:val="20"/>
      <w:szCs w:val="20"/>
    </w:rPr>
  </w:style>
  <w:style w:type="paragraph" w:styleId="19">
    <w:name w:val="caption"/>
    <w:basedOn w:val="1"/>
    <w:next w:val="1"/>
    <w:link w:val="111"/>
    <w:unhideWhenUsed/>
    <w:qFormat/>
    <w:uiPriority w:val="0"/>
    <w:pPr>
      <w:spacing w:before="152" w:after="160"/>
    </w:pPr>
    <w:rPr>
      <w:rFonts w:ascii="Arial" w:hAnsi="Arial" w:eastAsia="黑体" w:cs="Times New Roman"/>
      <w:kern w:val="0"/>
      <w:sz w:val="20"/>
      <w:szCs w:val="20"/>
    </w:rPr>
  </w:style>
  <w:style w:type="paragraph" w:styleId="20">
    <w:name w:val="List Bullet"/>
    <w:basedOn w:val="1"/>
    <w:unhideWhenUsed/>
    <w:qFormat/>
    <w:uiPriority w:val="0"/>
    <w:pPr>
      <w:tabs>
        <w:tab w:val="left" w:pos="360"/>
      </w:tabs>
      <w:ind w:left="360" w:hanging="360"/>
    </w:pPr>
    <w:rPr>
      <w:rFonts w:ascii="Times New Roman" w:hAnsi="Times New Roman" w:eastAsia="宋体" w:cs="Times New Roman"/>
    </w:rPr>
  </w:style>
  <w:style w:type="paragraph" w:styleId="21">
    <w:name w:val="Document Map"/>
    <w:basedOn w:val="1"/>
    <w:link w:val="95"/>
    <w:unhideWhenUsed/>
    <w:qFormat/>
    <w:uiPriority w:val="0"/>
    <w:pPr>
      <w:shd w:val="clear" w:color="auto" w:fill="000080"/>
    </w:pPr>
    <w:rPr>
      <w:rFonts w:ascii="Times New Roman" w:hAnsi="Times New Roman" w:eastAsia="宋体" w:cs="宋体"/>
    </w:rPr>
  </w:style>
  <w:style w:type="paragraph" w:styleId="22">
    <w:name w:val="annotation text"/>
    <w:basedOn w:val="1"/>
    <w:link w:val="96"/>
    <w:unhideWhenUsed/>
    <w:qFormat/>
    <w:uiPriority w:val="0"/>
    <w:pPr>
      <w:jc w:val="left"/>
    </w:pPr>
    <w:rPr>
      <w:rFonts w:ascii="Times New Roman" w:hAnsi="Times New Roman" w:eastAsia="宋体" w:cs="Times New Roman"/>
    </w:rPr>
  </w:style>
  <w:style w:type="paragraph" w:styleId="23">
    <w:name w:val="Salutation"/>
    <w:basedOn w:val="1"/>
    <w:next w:val="1"/>
    <w:link w:val="362"/>
    <w:qFormat/>
    <w:uiPriority w:val="0"/>
    <w:pPr>
      <w:widowControl/>
      <w:jc w:val="left"/>
    </w:pPr>
    <w:rPr>
      <w:rFonts w:ascii="Times New Roman" w:hAnsi="Times New Roman" w:eastAsia="宋体" w:cs="Times New Roman"/>
      <w:kern w:val="0"/>
      <w:sz w:val="20"/>
      <w:szCs w:val="24"/>
    </w:rPr>
  </w:style>
  <w:style w:type="paragraph" w:styleId="24">
    <w:name w:val="Body Text 3"/>
    <w:basedOn w:val="1"/>
    <w:link w:val="97"/>
    <w:unhideWhenUsed/>
    <w:qFormat/>
    <w:uiPriority w:val="0"/>
    <w:pPr>
      <w:snapToGrid w:val="0"/>
      <w:spacing w:before="50" w:after="50"/>
    </w:pPr>
    <w:rPr>
      <w:rFonts w:ascii="Times New Roman" w:hAnsi="宋体" w:eastAsia="Times New Roman" w:cs="Times New Roman"/>
      <w:b/>
      <w:sz w:val="24"/>
    </w:rPr>
  </w:style>
  <w:style w:type="paragraph" w:styleId="25">
    <w:name w:val="List Bullet 3"/>
    <w:basedOn w:val="1"/>
    <w:qFormat/>
    <w:uiPriority w:val="0"/>
    <w:pPr>
      <w:widowControl/>
      <w:tabs>
        <w:tab w:val="left" w:pos="1800"/>
      </w:tabs>
      <w:snapToGrid w:val="0"/>
      <w:ind w:left="1800" w:right="709" w:hanging="420"/>
      <w:jc w:val="left"/>
    </w:pPr>
    <w:rPr>
      <w:rFonts w:ascii="Calibri" w:hAnsi="Calibri" w:eastAsia="2OcuAe" w:cs="Times New Roman"/>
      <w:spacing w:val="2"/>
      <w:kern w:val="0"/>
      <w:sz w:val="20"/>
      <w:szCs w:val="20"/>
      <w:lang w:eastAsia="zh-TW"/>
    </w:rPr>
  </w:style>
  <w:style w:type="paragraph" w:styleId="26">
    <w:name w:val="Body Text"/>
    <w:basedOn w:val="1"/>
    <w:next w:val="27"/>
    <w:link w:val="98"/>
    <w:unhideWhenUsed/>
    <w:qFormat/>
    <w:uiPriority w:val="1"/>
    <w:pPr>
      <w:spacing w:after="120"/>
    </w:pPr>
    <w:rPr>
      <w:rFonts w:ascii="Times New Roman" w:hAnsi="Times New Roman" w:eastAsia="宋体" w:cs="Times New Roman"/>
    </w:rPr>
  </w:style>
  <w:style w:type="paragraph" w:styleId="27">
    <w:name w:val="Body Text First Indent"/>
    <w:basedOn w:val="26"/>
    <w:next w:val="1"/>
    <w:link w:val="99"/>
    <w:unhideWhenUsed/>
    <w:qFormat/>
    <w:uiPriority w:val="0"/>
    <w:pPr>
      <w:ind w:firstLine="420" w:firstLineChars="100"/>
    </w:pPr>
    <w:rPr>
      <w:rFonts w:hAnsi="Calibri"/>
      <w:kern w:val="0"/>
    </w:rPr>
  </w:style>
  <w:style w:type="paragraph" w:styleId="28">
    <w:name w:val="List Number 3"/>
    <w:basedOn w:val="1"/>
    <w:unhideWhenUsed/>
    <w:qFormat/>
    <w:uiPriority w:val="0"/>
    <w:pPr>
      <w:numPr>
        <w:ilvl w:val="0"/>
        <w:numId w:val="1"/>
      </w:numPr>
    </w:pPr>
    <w:rPr>
      <w:rFonts w:ascii="Times New Roman" w:hAnsi="Times New Roman" w:eastAsia="宋体" w:cs="Times New Roman"/>
      <w:szCs w:val="24"/>
    </w:rPr>
  </w:style>
  <w:style w:type="paragraph" w:styleId="29">
    <w:name w:val="List 2"/>
    <w:basedOn w:val="1"/>
    <w:unhideWhenUsed/>
    <w:qFormat/>
    <w:uiPriority w:val="0"/>
    <w:pPr>
      <w:ind w:left="100" w:leftChars="200" w:hanging="200" w:hangingChars="200"/>
    </w:pPr>
    <w:rPr>
      <w:rFonts w:ascii="Times New Roman" w:hAnsi="Times New Roman" w:eastAsia="宋体" w:cs="Times New Roman"/>
      <w:sz w:val="28"/>
      <w:szCs w:val="24"/>
    </w:rPr>
  </w:style>
  <w:style w:type="paragraph" w:styleId="30">
    <w:name w:val="Block Text"/>
    <w:basedOn w:val="1"/>
    <w:next w:val="31"/>
    <w:qFormat/>
    <w:uiPriority w:val="0"/>
    <w:pPr>
      <w:widowControl/>
      <w:snapToGrid w:val="0"/>
      <w:spacing w:line="400" w:lineRule="exact"/>
      <w:ind w:left="2" w:right="105" w:firstLine="538"/>
      <w:jc w:val="left"/>
    </w:pPr>
    <w:rPr>
      <w:rFonts w:ascii="Calibri" w:hAnsi="Calibri" w:eastAsia="宋体" w:cs="Times New Roman"/>
      <w:b/>
      <w:szCs w:val="20"/>
    </w:rPr>
  </w:style>
  <w:style w:type="paragraph" w:styleId="31">
    <w:name w:val="index heading"/>
    <w:basedOn w:val="1"/>
    <w:next w:val="32"/>
    <w:unhideWhenUsed/>
    <w:qFormat/>
    <w:uiPriority w:val="99"/>
    <w:rPr>
      <w:rFonts w:ascii="等线 Light" w:hAnsi="等线 Light" w:eastAsia="等线 Light" w:cs="Times New Roman"/>
      <w:b/>
      <w:bCs/>
    </w:rPr>
  </w:style>
  <w:style w:type="paragraph" w:styleId="32">
    <w:name w:val="index 1"/>
    <w:basedOn w:val="1"/>
    <w:next w:val="1"/>
    <w:unhideWhenUsed/>
    <w:qFormat/>
    <w:uiPriority w:val="0"/>
    <w:pPr>
      <w:tabs>
        <w:tab w:val="left" w:pos="900"/>
      </w:tabs>
      <w:adjustRightInd w:val="0"/>
      <w:ind w:firstLine="420" w:firstLineChars="200"/>
    </w:pPr>
    <w:rPr>
      <w:rFonts w:ascii="宋体" w:hAnsi="宋体" w:eastAsia="宋体" w:cs="Times New Roman"/>
    </w:rPr>
  </w:style>
  <w:style w:type="paragraph" w:styleId="33">
    <w:name w:val="List Bullet 2"/>
    <w:basedOn w:val="1"/>
    <w:qFormat/>
    <w:uiPriority w:val="0"/>
    <w:pPr>
      <w:widowControl/>
      <w:tabs>
        <w:tab w:val="left" w:pos="780"/>
      </w:tabs>
      <w:spacing w:line="480" w:lineRule="exact"/>
      <w:ind w:left="680" w:leftChars="10" w:right="170" w:hanging="659" w:hangingChars="270"/>
      <w:jc w:val="left"/>
    </w:pPr>
    <w:rPr>
      <w:rFonts w:ascii="宋体" w:hAnsi="宋体" w:eastAsia="宋体" w:cs="Times New Roman"/>
      <w:b/>
      <w:color w:val="0000FF"/>
      <w:spacing w:val="2"/>
      <w:kern w:val="0"/>
      <w:sz w:val="24"/>
      <w:szCs w:val="24"/>
      <w:lang w:eastAsia="zh-TW"/>
    </w:rPr>
  </w:style>
  <w:style w:type="paragraph" w:styleId="34">
    <w:name w:val="toc 5"/>
    <w:basedOn w:val="1"/>
    <w:next w:val="1"/>
    <w:qFormat/>
    <w:uiPriority w:val="39"/>
    <w:pPr>
      <w:ind w:left="840"/>
      <w:jc w:val="left"/>
    </w:pPr>
    <w:rPr>
      <w:rFonts w:ascii="Calibri" w:hAnsi="Calibri" w:eastAsia="宋体" w:cs="Calibri"/>
      <w:sz w:val="18"/>
      <w:szCs w:val="18"/>
    </w:rPr>
  </w:style>
  <w:style w:type="paragraph" w:styleId="35">
    <w:name w:val="toc 3"/>
    <w:basedOn w:val="1"/>
    <w:next w:val="1"/>
    <w:qFormat/>
    <w:uiPriority w:val="39"/>
    <w:pPr>
      <w:ind w:left="420"/>
      <w:jc w:val="left"/>
    </w:pPr>
    <w:rPr>
      <w:rFonts w:ascii="Calibri" w:hAnsi="Calibri" w:eastAsia="宋体" w:cs="Calibri"/>
      <w:i/>
      <w:iCs/>
      <w:sz w:val="20"/>
      <w:szCs w:val="20"/>
    </w:rPr>
  </w:style>
  <w:style w:type="paragraph" w:styleId="36">
    <w:name w:val="Plain Text"/>
    <w:basedOn w:val="1"/>
    <w:link w:val="113"/>
    <w:unhideWhenUsed/>
    <w:qFormat/>
    <w:uiPriority w:val="0"/>
    <w:pPr>
      <w:spacing w:beforeLines="50" w:line="400" w:lineRule="exact"/>
    </w:pPr>
    <w:rPr>
      <w:rFonts w:ascii="宋体" w:hAnsi="Courier New" w:eastAsia="宋体" w:cs="Times New Roman"/>
      <w:sz w:val="24"/>
    </w:rPr>
  </w:style>
  <w:style w:type="paragraph" w:styleId="37">
    <w:name w:val="List Bullet 5"/>
    <w:basedOn w:val="1"/>
    <w:qFormat/>
    <w:uiPriority w:val="0"/>
    <w:pPr>
      <w:widowControl/>
      <w:tabs>
        <w:tab w:val="left" w:pos="2040"/>
      </w:tabs>
      <w:snapToGrid w:val="0"/>
      <w:ind w:left="2040" w:right="709" w:hanging="360"/>
      <w:jc w:val="left"/>
    </w:pPr>
    <w:rPr>
      <w:rFonts w:ascii="Calibri" w:hAnsi="Calibri" w:eastAsia="2OcuAe" w:cs="Times New Roman"/>
      <w:spacing w:val="2"/>
      <w:kern w:val="0"/>
      <w:sz w:val="20"/>
      <w:szCs w:val="20"/>
      <w:lang w:eastAsia="zh-TW"/>
    </w:rPr>
  </w:style>
  <w:style w:type="paragraph" w:styleId="38">
    <w:name w:val="List Number 4"/>
    <w:basedOn w:val="1"/>
    <w:qFormat/>
    <w:uiPriority w:val="0"/>
    <w:pPr>
      <w:tabs>
        <w:tab w:val="left" w:pos="840"/>
      </w:tabs>
      <w:autoSpaceDE w:val="0"/>
      <w:autoSpaceDN w:val="0"/>
      <w:adjustRightInd w:val="0"/>
      <w:spacing w:line="360" w:lineRule="atLeast"/>
      <w:ind w:left="840" w:hanging="420"/>
    </w:pPr>
    <w:rPr>
      <w:rFonts w:ascii="Calibri" w:hAnsi="Calibri" w:eastAsia="宋体" w:cs="Times New Roman"/>
      <w:kern w:val="0"/>
      <w:sz w:val="24"/>
      <w:szCs w:val="24"/>
    </w:rPr>
  </w:style>
  <w:style w:type="paragraph" w:styleId="39">
    <w:name w:val="toc 8"/>
    <w:basedOn w:val="1"/>
    <w:next w:val="1"/>
    <w:qFormat/>
    <w:uiPriority w:val="39"/>
    <w:pPr>
      <w:ind w:left="1470"/>
      <w:jc w:val="left"/>
    </w:pPr>
    <w:rPr>
      <w:rFonts w:ascii="Calibri" w:hAnsi="Calibri" w:eastAsia="宋体" w:cs="Calibri"/>
      <w:sz w:val="18"/>
      <w:szCs w:val="18"/>
    </w:rPr>
  </w:style>
  <w:style w:type="paragraph" w:styleId="40">
    <w:name w:val="Date"/>
    <w:basedOn w:val="1"/>
    <w:next w:val="1"/>
    <w:link w:val="102"/>
    <w:unhideWhenUsed/>
    <w:qFormat/>
    <w:uiPriority w:val="99"/>
    <w:pPr>
      <w:ind w:left="2500" w:leftChars="2500"/>
    </w:pPr>
    <w:rPr>
      <w:rFonts w:ascii="Calibri" w:hAnsi="Calibri" w:eastAsia="楷体_GB2312" w:cs="Times New Roman"/>
      <w:kern w:val="0"/>
      <w:sz w:val="32"/>
    </w:rPr>
  </w:style>
  <w:style w:type="paragraph" w:styleId="41">
    <w:name w:val="Body Text Indent 2"/>
    <w:basedOn w:val="1"/>
    <w:next w:val="42"/>
    <w:link w:val="103"/>
    <w:unhideWhenUsed/>
    <w:qFormat/>
    <w:uiPriority w:val="0"/>
    <w:pPr>
      <w:snapToGrid w:val="0"/>
      <w:ind w:firstLine="542" w:firstLineChars="225"/>
    </w:pPr>
    <w:rPr>
      <w:rFonts w:ascii="仿宋_GB2312" w:hAnsi="宋体" w:eastAsia="宋体" w:cs="Times New Roman"/>
      <w:b/>
      <w:color w:val="000000"/>
      <w:kern w:val="0"/>
      <w:sz w:val="24"/>
    </w:rPr>
  </w:style>
  <w:style w:type="paragraph" w:styleId="42">
    <w:name w:val="toc 1"/>
    <w:basedOn w:val="1"/>
    <w:next w:val="1"/>
    <w:link w:val="370"/>
    <w:unhideWhenUsed/>
    <w:qFormat/>
    <w:uiPriority w:val="39"/>
    <w:rPr>
      <w:rFonts w:ascii="Times New Roman" w:hAnsi="Times New Roman" w:eastAsia="宋体" w:cs="Times New Roman"/>
    </w:rPr>
  </w:style>
  <w:style w:type="paragraph" w:styleId="43">
    <w:name w:val="endnote text"/>
    <w:basedOn w:val="1"/>
    <w:link w:val="363"/>
    <w:qFormat/>
    <w:uiPriority w:val="0"/>
    <w:pPr>
      <w:widowControl/>
      <w:adjustRightInd w:val="0"/>
      <w:spacing w:line="360" w:lineRule="atLeast"/>
      <w:jc w:val="left"/>
      <w:textAlignment w:val="baseline"/>
    </w:pPr>
    <w:rPr>
      <w:rFonts w:ascii="Times New Roman" w:hAnsi="Times New Roman" w:eastAsia="宋体" w:cs="Times New Roman"/>
      <w:kern w:val="0"/>
      <w:sz w:val="24"/>
      <w:szCs w:val="20"/>
    </w:rPr>
  </w:style>
  <w:style w:type="paragraph" w:styleId="44">
    <w:name w:val="Balloon Text"/>
    <w:basedOn w:val="1"/>
    <w:link w:val="104"/>
    <w:unhideWhenUsed/>
    <w:qFormat/>
    <w:uiPriority w:val="0"/>
    <w:rPr>
      <w:rFonts w:ascii="Calibri" w:hAnsi="Calibri" w:eastAsia="宋体" w:cs="Times New Roman"/>
      <w:sz w:val="18"/>
      <w:szCs w:val="18"/>
    </w:rPr>
  </w:style>
  <w:style w:type="paragraph" w:styleId="45">
    <w:name w:val="footer"/>
    <w:basedOn w:val="1"/>
    <w:link w:val="85"/>
    <w:unhideWhenUsed/>
    <w:qFormat/>
    <w:uiPriority w:val="99"/>
    <w:pPr>
      <w:tabs>
        <w:tab w:val="center" w:pos="4153"/>
        <w:tab w:val="right" w:pos="8306"/>
      </w:tabs>
      <w:snapToGrid w:val="0"/>
      <w:jc w:val="left"/>
    </w:pPr>
    <w:rPr>
      <w:sz w:val="18"/>
      <w:szCs w:val="18"/>
    </w:rPr>
  </w:style>
  <w:style w:type="paragraph" w:styleId="46">
    <w:name w:val="header"/>
    <w:basedOn w:val="1"/>
    <w:next w:val="41"/>
    <w:link w:val="84"/>
    <w:unhideWhenUsed/>
    <w:qFormat/>
    <w:uiPriority w:val="99"/>
    <w:pPr>
      <w:pBdr>
        <w:bottom w:val="single" w:color="auto" w:sz="6" w:space="1"/>
      </w:pBdr>
      <w:tabs>
        <w:tab w:val="center" w:pos="4153"/>
        <w:tab w:val="right" w:pos="8306"/>
      </w:tabs>
      <w:snapToGrid w:val="0"/>
      <w:jc w:val="center"/>
    </w:pPr>
    <w:rPr>
      <w:sz w:val="18"/>
      <w:szCs w:val="18"/>
    </w:rPr>
  </w:style>
  <w:style w:type="paragraph" w:styleId="47">
    <w:name w:val="toc 4"/>
    <w:basedOn w:val="1"/>
    <w:next w:val="1"/>
    <w:qFormat/>
    <w:uiPriority w:val="39"/>
    <w:pPr>
      <w:ind w:left="630"/>
      <w:jc w:val="left"/>
    </w:pPr>
    <w:rPr>
      <w:rFonts w:ascii="Calibri" w:hAnsi="Calibri" w:eastAsia="宋体" w:cs="Calibri"/>
      <w:sz w:val="18"/>
      <w:szCs w:val="18"/>
    </w:rPr>
  </w:style>
  <w:style w:type="paragraph" w:styleId="48">
    <w:name w:val="Subtitle"/>
    <w:basedOn w:val="1"/>
    <w:next w:val="1"/>
    <w:link w:val="364"/>
    <w:qFormat/>
    <w:uiPriority w:val="0"/>
    <w:pPr>
      <w:wordWrap w:val="0"/>
      <w:spacing w:before="240" w:after="60" w:line="312" w:lineRule="auto"/>
      <w:ind w:firstLine="200" w:firstLineChars="200"/>
      <w:jc w:val="center"/>
      <w:outlineLvl w:val="1"/>
    </w:pPr>
    <w:rPr>
      <w:rFonts w:ascii="Calibri" w:hAnsi="Calibri" w:eastAsia="宋体" w:cs="宋体"/>
      <w:b/>
      <w:bCs/>
      <w:kern w:val="28"/>
      <w:sz w:val="32"/>
      <w:szCs w:val="32"/>
    </w:rPr>
  </w:style>
  <w:style w:type="paragraph" w:styleId="49">
    <w:name w:val="List Number 5"/>
    <w:basedOn w:val="1"/>
    <w:qFormat/>
    <w:uiPriority w:val="0"/>
    <w:pPr>
      <w:widowControl/>
      <w:tabs>
        <w:tab w:val="left" w:pos="420"/>
      </w:tabs>
      <w:snapToGrid w:val="0"/>
      <w:ind w:left="420" w:right="709" w:hanging="420"/>
      <w:jc w:val="left"/>
    </w:pPr>
    <w:rPr>
      <w:rFonts w:ascii="Calibri" w:hAnsi="Calibri" w:eastAsia="2OcuAe" w:cs="Times New Roman"/>
      <w:spacing w:val="2"/>
      <w:kern w:val="0"/>
      <w:sz w:val="20"/>
      <w:szCs w:val="20"/>
      <w:lang w:eastAsia="zh-TW"/>
    </w:rPr>
  </w:style>
  <w:style w:type="paragraph" w:styleId="50">
    <w:name w:val="List"/>
    <w:basedOn w:val="1"/>
    <w:semiHidden/>
    <w:unhideWhenUsed/>
    <w:qFormat/>
    <w:uiPriority w:val="99"/>
    <w:pPr>
      <w:ind w:left="200" w:hanging="200" w:hangingChars="200"/>
    </w:pPr>
    <w:rPr>
      <w:rFonts w:ascii="Times New Roman" w:hAnsi="Times New Roman" w:eastAsia="宋体" w:cs="Times New Roman"/>
      <w:sz w:val="28"/>
    </w:rPr>
  </w:style>
  <w:style w:type="paragraph" w:styleId="51">
    <w:name w:val="footnote text"/>
    <w:basedOn w:val="1"/>
    <w:link w:val="365"/>
    <w:qFormat/>
    <w:uiPriority w:val="0"/>
    <w:pPr>
      <w:wordWrap w:val="0"/>
      <w:snapToGrid w:val="0"/>
      <w:spacing w:line="360" w:lineRule="auto"/>
      <w:ind w:firstLine="200" w:firstLineChars="200"/>
      <w:jc w:val="left"/>
    </w:pPr>
    <w:rPr>
      <w:rFonts w:ascii="宋体" w:hAnsi="Calibri" w:eastAsia="宋体" w:cs="宋体"/>
      <w:sz w:val="18"/>
      <w:szCs w:val="18"/>
    </w:rPr>
  </w:style>
  <w:style w:type="paragraph" w:styleId="52">
    <w:name w:val="toc 6"/>
    <w:basedOn w:val="1"/>
    <w:next w:val="1"/>
    <w:qFormat/>
    <w:uiPriority w:val="39"/>
    <w:pPr>
      <w:ind w:left="1050"/>
      <w:jc w:val="left"/>
    </w:pPr>
    <w:rPr>
      <w:rFonts w:ascii="Calibri" w:hAnsi="Calibri" w:eastAsia="宋体" w:cs="Calibri"/>
      <w:sz w:val="18"/>
      <w:szCs w:val="18"/>
    </w:rPr>
  </w:style>
  <w:style w:type="paragraph" w:styleId="53">
    <w:name w:val="Body Text Indent 3"/>
    <w:basedOn w:val="1"/>
    <w:link w:val="105"/>
    <w:unhideWhenUsed/>
    <w:qFormat/>
    <w:uiPriority w:val="0"/>
    <w:pPr>
      <w:snapToGrid w:val="0"/>
      <w:ind w:firstLine="480" w:firstLineChars="200"/>
      <w:jc w:val="left"/>
    </w:pPr>
    <w:rPr>
      <w:rFonts w:ascii="仿宋_GB2312" w:hAnsi="宋体" w:eastAsia="Times New Roman" w:cs="Times New Roman"/>
      <w:color w:val="000000"/>
      <w:kern w:val="0"/>
      <w:sz w:val="24"/>
    </w:rPr>
  </w:style>
  <w:style w:type="paragraph" w:styleId="54">
    <w:name w:val="toc 2"/>
    <w:basedOn w:val="1"/>
    <w:next w:val="1"/>
    <w:qFormat/>
    <w:uiPriority w:val="39"/>
    <w:pPr>
      <w:wordWrap w:val="0"/>
      <w:spacing w:line="360" w:lineRule="auto"/>
      <w:ind w:left="420" w:leftChars="200" w:firstLine="200" w:firstLineChars="200"/>
    </w:pPr>
    <w:rPr>
      <w:rFonts w:ascii="宋体" w:hAnsi="Calibri" w:eastAsia="宋体" w:cs="宋体"/>
    </w:rPr>
  </w:style>
  <w:style w:type="paragraph" w:styleId="55">
    <w:name w:val="toc 9"/>
    <w:basedOn w:val="1"/>
    <w:next w:val="1"/>
    <w:qFormat/>
    <w:uiPriority w:val="39"/>
    <w:pPr>
      <w:ind w:left="1680"/>
      <w:jc w:val="left"/>
    </w:pPr>
    <w:rPr>
      <w:rFonts w:ascii="Calibri" w:hAnsi="Calibri" w:eastAsia="宋体" w:cs="Calibri"/>
      <w:sz w:val="18"/>
      <w:szCs w:val="18"/>
    </w:rPr>
  </w:style>
  <w:style w:type="paragraph" w:styleId="56">
    <w:name w:val="Body Text 2"/>
    <w:basedOn w:val="1"/>
    <w:link w:val="106"/>
    <w:unhideWhenUsed/>
    <w:qFormat/>
    <w:uiPriority w:val="0"/>
    <w:pPr>
      <w:widowControl/>
      <w:overflowPunct w:val="0"/>
      <w:autoSpaceDE w:val="0"/>
      <w:autoSpaceDN w:val="0"/>
      <w:adjustRightInd w:val="0"/>
      <w:spacing w:line="280" w:lineRule="exact"/>
      <w:jc w:val="center"/>
    </w:pPr>
    <w:rPr>
      <w:rFonts w:ascii="宋体" w:hAnsi="宋体" w:eastAsia="宋体" w:cs="宋体"/>
      <w:bCs/>
    </w:rPr>
  </w:style>
  <w:style w:type="paragraph" w:styleId="57">
    <w:name w:val="HTML Preformatted"/>
    <w:basedOn w:val="1"/>
    <w:link w:val="107"/>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eastAsia="宋体" w:cs="Times New Roman"/>
      <w:kern w:val="0"/>
      <w:sz w:val="20"/>
      <w:szCs w:val="20"/>
    </w:rPr>
  </w:style>
  <w:style w:type="paragraph" w:styleId="58">
    <w:name w:val="Normal (Web)"/>
    <w:basedOn w:val="1"/>
    <w:link w:val="723"/>
    <w:unhideWhenUsed/>
    <w:qFormat/>
    <w:uiPriority w:val="0"/>
    <w:pPr>
      <w:widowControl/>
      <w:spacing w:before="100" w:beforeAutospacing="1" w:after="100" w:afterAutospacing="1"/>
      <w:jc w:val="left"/>
    </w:pPr>
    <w:rPr>
      <w:rFonts w:ascii="(使用中文字体)" w:hAnsi="(使用中文字体)" w:eastAsia="宋体" w:cs="(使用中文字体)"/>
      <w:kern w:val="0"/>
      <w:sz w:val="24"/>
      <w:szCs w:val="24"/>
    </w:rPr>
  </w:style>
  <w:style w:type="paragraph" w:styleId="59">
    <w:name w:val="Title"/>
    <w:basedOn w:val="1"/>
    <w:next w:val="1"/>
    <w:link w:val="366"/>
    <w:qFormat/>
    <w:uiPriority w:val="0"/>
    <w:pPr>
      <w:wordWrap w:val="0"/>
      <w:spacing w:before="240" w:after="60" w:line="360" w:lineRule="auto"/>
      <w:ind w:firstLine="200" w:firstLineChars="200"/>
      <w:jc w:val="center"/>
      <w:outlineLvl w:val="0"/>
    </w:pPr>
    <w:rPr>
      <w:rFonts w:ascii="Cambria" w:hAnsi="Cambria" w:eastAsia="宋体" w:cs="宋体"/>
      <w:b/>
      <w:bCs/>
      <w:sz w:val="32"/>
      <w:szCs w:val="32"/>
    </w:rPr>
  </w:style>
  <w:style w:type="paragraph" w:styleId="60">
    <w:name w:val="annotation subject"/>
    <w:basedOn w:val="22"/>
    <w:next w:val="22"/>
    <w:link w:val="108"/>
    <w:unhideWhenUsed/>
    <w:qFormat/>
    <w:uiPriority w:val="0"/>
    <w:rPr>
      <w:rFonts w:cs="宋体"/>
      <w:b/>
      <w:bCs/>
    </w:rPr>
  </w:style>
  <w:style w:type="table" w:styleId="62">
    <w:name w:val="Table Grid"/>
    <w:basedOn w:val="61"/>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63">
    <w:name w:val="Table Theme"/>
    <w:basedOn w:val="61"/>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Elegant"/>
    <w:basedOn w:val="61"/>
    <w:qFormat/>
    <w:uiPriority w:val="0"/>
    <w:pPr>
      <w:widowControl w:val="0"/>
      <w:jc w:val="both"/>
    </w:pPr>
    <w:tblPr>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5">
    <w:name w:val="Medium Shading 2 Accent 2"/>
    <w:basedOn w:val="61"/>
    <w:qFormat/>
    <w:uiPriority w:val="0"/>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color w:val="FFFFF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F81BD"/>
      </w:tcPr>
    </w:tblStylePr>
    <w:tblStylePr w:type="lastRow">
      <w:rPr>
        <w:color w:val="auto"/>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F81BD"/>
      </w:tcPr>
    </w:tblStylePr>
    <w:tblStylePr w:type="firstCol">
      <w:rPr>
        <w:b/>
        <w:bCs/>
        <w:color w:val="FFFFFF"/>
      </w:rPr>
      <w:tblPr/>
      <w:tcPr>
        <w:tcBorders>
          <w:top w:val="nil"/>
          <w:left w:val="single" w:color="CCE8CF" w:sz="8" w:space="0"/>
          <w:bottom w:val="nil"/>
          <w:right w:val="single" w:color="CCE8CF" w:sz="24" w:space="0"/>
          <w:insideH w:val="nil"/>
          <w:insideV w:val="nil"/>
          <w:tl2br w:val="nil"/>
          <w:tr2bl w:val="nil"/>
        </w:tcBorders>
        <w:shd w:val="clear" w:color="auto" w:fill="4F81BD"/>
      </w:tcPr>
    </w:tblStylePr>
    <w:tblStylePr w:type="lastCol">
      <w:rPr>
        <w:b/>
        <w:bCs/>
        <w:color w:val="FFFFFF"/>
      </w:rPr>
      <w:tblPr/>
      <w:tcPr>
        <w:tcBorders>
          <w:top w:val="nil"/>
          <w:left w:val="single" w:color="CCE8CF" w:sz="24" w:space="0"/>
          <w:bottom w:val="nil"/>
          <w:right w:val="nil"/>
          <w:insideH w:val="nil"/>
          <w:insideV w:val="nil"/>
          <w:tl2br w:val="nil"/>
          <w:tr2bl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7BFDE"/>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66">
    <w:name w:val="Medium Shading 2 Accent 3"/>
    <w:basedOn w:val="61"/>
    <w:qFormat/>
    <w:uiPriority w:val="0"/>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color w:val="FFFFF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C0504D"/>
      </w:tcPr>
    </w:tblStylePr>
    <w:tblStylePr w:type="lastRow">
      <w:rPr>
        <w:color w:val="auto"/>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C0504D"/>
      </w:tcPr>
    </w:tblStylePr>
    <w:tblStylePr w:type="firstCol">
      <w:rPr>
        <w:b/>
        <w:bCs/>
        <w:color w:val="FFFFFF"/>
      </w:rPr>
      <w:tblPr/>
      <w:tcPr>
        <w:tcBorders>
          <w:top w:val="nil"/>
          <w:left w:val="single" w:color="CCE8CF" w:sz="8" w:space="0"/>
          <w:bottom w:val="nil"/>
          <w:right w:val="single" w:color="CCE8CF" w:sz="24" w:space="0"/>
          <w:insideH w:val="nil"/>
          <w:insideV w:val="nil"/>
          <w:tl2br w:val="nil"/>
          <w:tr2bl w:val="nil"/>
        </w:tcBorders>
        <w:shd w:val="clear" w:color="auto" w:fill="C0504D"/>
      </w:tcPr>
    </w:tblStylePr>
    <w:tblStylePr w:type="lastCol">
      <w:rPr>
        <w:b/>
        <w:bCs/>
        <w:color w:val="FFFFFF"/>
      </w:rPr>
      <w:tblPr/>
      <w:tcPr>
        <w:tcBorders>
          <w:top w:val="nil"/>
          <w:left w:val="single" w:color="CCE8CF" w:sz="24" w:space="0"/>
          <w:bottom w:val="nil"/>
          <w:right w:val="nil"/>
          <w:insideH w:val="nil"/>
          <w:insideV w:val="nil"/>
          <w:tl2br w:val="nil"/>
          <w:tr2bl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DFA7A6"/>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67">
    <w:name w:val="Medium Shading 2 Accent 4"/>
    <w:basedOn w:val="61"/>
    <w:qFormat/>
    <w:uiPriority w:val="0"/>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color w:val="FFFFF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9BBB59"/>
      </w:tcPr>
    </w:tblStylePr>
    <w:tblStylePr w:type="lastRow">
      <w:rPr>
        <w:color w:val="auto"/>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9BBB59"/>
      </w:tcPr>
    </w:tblStylePr>
    <w:tblStylePr w:type="firstCol">
      <w:rPr>
        <w:b/>
        <w:bCs/>
        <w:color w:val="FFFFFF"/>
      </w:rPr>
      <w:tblPr/>
      <w:tcPr>
        <w:tcBorders>
          <w:top w:val="nil"/>
          <w:left w:val="single" w:color="CCE8CF" w:sz="8" w:space="0"/>
          <w:bottom w:val="nil"/>
          <w:right w:val="single" w:color="CCE8CF" w:sz="24" w:space="0"/>
          <w:insideH w:val="nil"/>
          <w:insideV w:val="nil"/>
          <w:tl2br w:val="nil"/>
          <w:tr2bl w:val="nil"/>
        </w:tcBorders>
        <w:shd w:val="clear" w:color="auto" w:fill="9BBB59"/>
      </w:tcPr>
    </w:tblStylePr>
    <w:tblStylePr w:type="lastCol">
      <w:rPr>
        <w:b/>
        <w:bCs/>
        <w:color w:val="FFFFFF"/>
      </w:rPr>
      <w:tblPr/>
      <w:tcPr>
        <w:tcBorders>
          <w:top w:val="nil"/>
          <w:left w:val="single" w:color="CCE8CF" w:sz="24" w:space="0"/>
          <w:bottom w:val="nil"/>
          <w:right w:val="nil"/>
          <w:insideH w:val="nil"/>
          <w:insideV w:val="nil"/>
          <w:tl2br w:val="nil"/>
          <w:tr2bl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CDDDAC"/>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68">
    <w:name w:val="Medium Shading 2 Accent 5"/>
    <w:basedOn w:val="61"/>
    <w:qFormat/>
    <w:uiPriority w:val="0"/>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color w:val="FFFFF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8064A2"/>
      </w:tcPr>
    </w:tblStylePr>
    <w:tblStylePr w:type="lastRow">
      <w:rPr>
        <w:color w:val="auto"/>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8064A2"/>
      </w:tcPr>
    </w:tblStylePr>
    <w:tblStylePr w:type="firstCol">
      <w:rPr>
        <w:b/>
        <w:bCs/>
        <w:color w:val="FFFFFF"/>
      </w:rPr>
      <w:tblPr/>
      <w:tcPr>
        <w:tcBorders>
          <w:top w:val="nil"/>
          <w:left w:val="single" w:color="CCE8CF" w:sz="8" w:space="0"/>
          <w:bottom w:val="nil"/>
          <w:right w:val="single" w:color="CCE8CF" w:sz="24" w:space="0"/>
          <w:insideH w:val="nil"/>
          <w:insideV w:val="nil"/>
          <w:tl2br w:val="nil"/>
          <w:tr2bl w:val="nil"/>
        </w:tcBorders>
        <w:shd w:val="clear" w:color="auto" w:fill="8064A2"/>
      </w:tcPr>
    </w:tblStylePr>
    <w:tblStylePr w:type="lastCol">
      <w:rPr>
        <w:b/>
        <w:bCs/>
        <w:color w:val="FFFFFF"/>
      </w:rPr>
      <w:tblPr/>
      <w:tcPr>
        <w:tcBorders>
          <w:top w:val="nil"/>
          <w:left w:val="single" w:color="CCE8CF" w:sz="24" w:space="0"/>
          <w:bottom w:val="nil"/>
          <w:right w:val="nil"/>
          <w:insideH w:val="nil"/>
          <w:insideV w:val="nil"/>
          <w:tl2br w:val="nil"/>
          <w:tr2bl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BFB1D0"/>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table" w:styleId="69">
    <w:name w:val="Medium Shading 2 Accent 6"/>
    <w:basedOn w:val="61"/>
    <w:qFormat/>
    <w:uiPriority w:val="0"/>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color w:val="FFFFF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BACC6"/>
      </w:tcPr>
    </w:tblStylePr>
    <w:tblStylePr w:type="lastRow">
      <w:rPr>
        <w:color w:val="auto"/>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BACC6"/>
      </w:tcPr>
    </w:tblStylePr>
    <w:tblStylePr w:type="firstCol">
      <w:rPr>
        <w:b/>
        <w:bCs/>
        <w:color w:val="FFFFFF"/>
      </w:rPr>
      <w:tblPr/>
      <w:tcPr>
        <w:tcBorders>
          <w:top w:val="nil"/>
          <w:left w:val="single" w:color="CCE8CF" w:sz="8" w:space="0"/>
          <w:bottom w:val="nil"/>
          <w:right w:val="single" w:color="CCE8CF" w:sz="24" w:space="0"/>
          <w:insideH w:val="nil"/>
          <w:insideV w:val="nil"/>
          <w:tl2br w:val="nil"/>
          <w:tr2bl w:val="nil"/>
        </w:tcBorders>
        <w:shd w:val="clear" w:color="auto" w:fill="4BACC6"/>
      </w:tcPr>
    </w:tblStylePr>
    <w:tblStylePr w:type="lastCol">
      <w:rPr>
        <w:b/>
        <w:bCs/>
        <w:color w:val="FFFFFF"/>
      </w:rPr>
      <w:tblPr/>
      <w:tcPr>
        <w:tcBorders>
          <w:top w:val="nil"/>
          <w:left w:val="single" w:color="CCE8CF" w:sz="24" w:space="0"/>
          <w:bottom w:val="nil"/>
          <w:right w:val="nil"/>
          <w:insideH w:val="nil"/>
          <w:insideV w:val="nil"/>
          <w:tl2br w:val="nil"/>
          <w:tr2bl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5D5E2"/>
      </w:tcPr>
    </w:tblStylePr>
    <w:tblStylePr w:type="neCell">
      <w:tblPr/>
      <w:tcPr>
        <w:tcBorders>
          <w:top w:val="single" w:color="auto" w:sz="18" w:space="0"/>
          <w:left w:val="nil"/>
          <w:bottom w:val="single" w:color="auto" w:sz="18" w:space="0"/>
          <w:right w:val="nil"/>
          <w:insideH w:val="nil"/>
          <w:insideV w:val="nil"/>
          <w:tl2br w:val="nil"/>
          <w:tr2bl w:val="nil"/>
        </w:tcBorders>
      </w:tcPr>
    </w:tblStylePr>
    <w:tblStylePr w:type="nwCell">
      <w:rPr>
        <w:color w:val="FFFFFF"/>
      </w:rPr>
      <w:tblPr/>
      <w:tcPr>
        <w:tcBorders>
          <w:top w:val="single" w:color="auto" w:sz="18" w:space="0"/>
          <w:left w:val="nil"/>
          <w:bottom w:val="single" w:color="auto" w:sz="18" w:space="0"/>
          <w:right w:val="nil"/>
          <w:insideH w:val="nil"/>
          <w:insideV w:val="nil"/>
          <w:tl2br w:val="nil"/>
          <w:tr2bl w:val="nil"/>
        </w:tcBorders>
      </w:tcPr>
    </w:tblStylePr>
  </w:style>
  <w:style w:type="character" w:styleId="71">
    <w:name w:val="Strong"/>
    <w:basedOn w:val="70"/>
    <w:qFormat/>
    <w:uiPriority w:val="0"/>
    <w:rPr>
      <w:rFonts w:hint="default" w:ascii="Times New Roman" w:hAnsi="Times New Roman" w:cs="Times New Roman"/>
      <w:b/>
    </w:rPr>
  </w:style>
  <w:style w:type="character" w:styleId="72">
    <w:name w:val="page number"/>
    <w:basedOn w:val="70"/>
    <w:unhideWhenUsed/>
    <w:qFormat/>
    <w:uiPriority w:val="0"/>
    <w:rPr>
      <w:rFonts w:hint="default" w:ascii="Times New Roman" w:hAnsi="Times New Roman" w:cs="Times New Roman"/>
    </w:rPr>
  </w:style>
  <w:style w:type="character" w:styleId="73">
    <w:name w:val="FollowedHyperlink"/>
    <w:basedOn w:val="70"/>
    <w:unhideWhenUsed/>
    <w:qFormat/>
    <w:uiPriority w:val="0"/>
    <w:rPr>
      <w:rFonts w:hint="default" w:ascii="Times New Roman" w:hAnsi="Times New Roman" w:cs="Times New Roman"/>
      <w:color w:val="800080"/>
      <w:u w:val="single"/>
    </w:rPr>
  </w:style>
  <w:style w:type="character" w:styleId="74">
    <w:name w:val="Emphasis"/>
    <w:qFormat/>
    <w:uiPriority w:val="0"/>
    <w:rPr>
      <w:rFonts w:ascii="Calibri" w:hAnsi="Calibri" w:eastAsia="宋体" w:cs="Times New Roman"/>
    </w:rPr>
  </w:style>
  <w:style w:type="character" w:styleId="75">
    <w:name w:val="HTML Definition"/>
    <w:basedOn w:val="70"/>
    <w:semiHidden/>
    <w:unhideWhenUsed/>
    <w:qFormat/>
    <w:uiPriority w:val="0"/>
    <w:rPr>
      <w:rFonts w:hint="default" w:ascii="Times New Roman" w:hAnsi="Times New Roman" w:cs="Times New Roman"/>
      <w:i/>
    </w:rPr>
  </w:style>
  <w:style w:type="character" w:styleId="76">
    <w:name w:val="Hyperlink"/>
    <w:basedOn w:val="70"/>
    <w:unhideWhenUsed/>
    <w:qFormat/>
    <w:uiPriority w:val="99"/>
    <w:rPr>
      <w:rFonts w:hint="default" w:ascii="Times New Roman" w:hAnsi="Times New Roman" w:cs="Times New Roman"/>
      <w:color w:val="0000FF"/>
      <w:u w:val="single"/>
    </w:rPr>
  </w:style>
  <w:style w:type="character" w:styleId="77">
    <w:name w:val="HTML Code"/>
    <w:basedOn w:val="70"/>
    <w:semiHidden/>
    <w:unhideWhenUsed/>
    <w:qFormat/>
    <w:uiPriority w:val="0"/>
    <w:rPr>
      <w:rFonts w:hint="default" w:ascii="Marlett" w:hAnsi="Marlett" w:eastAsia="Times New Roman" w:cs="Times New Roman"/>
      <w:sz w:val="21"/>
      <w:szCs w:val="24"/>
    </w:rPr>
  </w:style>
  <w:style w:type="character" w:styleId="78">
    <w:name w:val="annotation reference"/>
    <w:basedOn w:val="70"/>
    <w:unhideWhenUsed/>
    <w:qFormat/>
    <w:uiPriority w:val="0"/>
    <w:rPr>
      <w:rFonts w:hint="default" w:ascii="Times New Roman" w:hAnsi="Times New Roman" w:cs="Times New Roman"/>
      <w:sz w:val="21"/>
    </w:rPr>
  </w:style>
  <w:style w:type="character" w:styleId="79">
    <w:name w:val="footnote reference"/>
    <w:basedOn w:val="70"/>
    <w:qFormat/>
    <w:uiPriority w:val="0"/>
    <w:rPr>
      <w:vertAlign w:val="superscript"/>
    </w:rPr>
  </w:style>
  <w:style w:type="character" w:styleId="80">
    <w:name w:val="HTML Keyboard"/>
    <w:basedOn w:val="70"/>
    <w:semiHidden/>
    <w:unhideWhenUsed/>
    <w:qFormat/>
    <w:uiPriority w:val="0"/>
    <w:rPr>
      <w:rFonts w:hint="default" w:ascii="Marlett" w:hAnsi="Marlett" w:eastAsia="Times New Roman" w:cs="Times New Roman"/>
      <w:sz w:val="21"/>
      <w:szCs w:val="24"/>
    </w:rPr>
  </w:style>
  <w:style w:type="character" w:styleId="81">
    <w:name w:val="HTML Sample"/>
    <w:basedOn w:val="70"/>
    <w:semiHidden/>
    <w:unhideWhenUsed/>
    <w:qFormat/>
    <w:uiPriority w:val="0"/>
    <w:rPr>
      <w:rFonts w:hint="default" w:ascii="Marlett" w:hAnsi="Marlett" w:eastAsia="Times New Roman" w:cs="Times New Roman"/>
      <w:sz w:val="21"/>
    </w:rPr>
  </w:style>
  <w:style w:type="paragraph" w:customStyle="1" w:styleId="82">
    <w:name w:val="首行缩进"/>
    <w:basedOn w:val="1"/>
    <w:qFormat/>
    <w:uiPriority w:val="0"/>
    <w:pPr>
      <w:spacing w:line="360" w:lineRule="auto"/>
      <w:ind w:firstLine="480" w:firstLineChars="200"/>
      <w:jc w:val="left"/>
    </w:pPr>
    <w:rPr>
      <w:rFonts w:ascii="宋体" w:hAnsi="宋体"/>
      <w:sz w:val="24"/>
    </w:rPr>
  </w:style>
  <w:style w:type="paragraph" w:customStyle="1" w:styleId="83">
    <w:name w:val="正文（绿盟科技）"/>
    <w:qFormat/>
    <w:uiPriority w:val="0"/>
    <w:pPr>
      <w:spacing w:line="300" w:lineRule="auto"/>
    </w:pPr>
    <w:rPr>
      <w:rFonts w:ascii="Arial" w:hAnsi="Arial" w:eastAsia="宋体" w:cs="Times New Roman"/>
      <w:sz w:val="21"/>
      <w:szCs w:val="21"/>
      <w:lang w:val="en-US" w:eastAsia="zh-CN" w:bidi="ar-SA"/>
    </w:rPr>
  </w:style>
  <w:style w:type="character" w:customStyle="1" w:styleId="84">
    <w:name w:val="页眉 字符"/>
    <w:basedOn w:val="70"/>
    <w:link w:val="46"/>
    <w:qFormat/>
    <w:uiPriority w:val="99"/>
    <w:rPr>
      <w:sz w:val="18"/>
      <w:szCs w:val="18"/>
    </w:rPr>
  </w:style>
  <w:style w:type="character" w:customStyle="1" w:styleId="85">
    <w:name w:val="页脚 字符"/>
    <w:basedOn w:val="70"/>
    <w:link w:val="45"/>
    <w:qFormat/>
    <w:uiPriority w:val="99"/>
    <w:rPr>
      <w:sz w:val="18"/>
      <w:szCs w:val="18"/>
    </w:rPr>
  </w:style>
  <w:style w:type="character" w:customStyle="1" w:styleId="86">
    <w:name w:val="标题 1 字符"/>
    <w:basedOn w:val="70"/>
    <w:link w:val="4"/>
    <w:qFormat/>
    <w:uiPriority w:val="0"/>
    <w:rPr>
      <w:rFonts w:ascii="Times New Roman" w:hAnsi="Times New Roman" w:eastAsia="黑体" w:cs="Times New Roman"/>
      <w:b/>
      <w:bCs/>
      <w:kern w:val="44"/>
      <w:sz w:val="52"/>
      <w:szCs w:val="20"/>
    </w:rPr>
  </w:style>
  <w:style w:type="character" w:customStyle="1" w:styleId="87">
    <w:name w:val="标题 2 字符"/>
    <w:basedOn w:val="70"/>
    <w:link w:val="5"/>
    <w:qFormat/>
    <w:uiPriority w:val="9"/>
    <w:rPr>
      <w:rFonts w:ascii="Arial" w:hAnsi="Arial" w:eastAsia="黑体" w:cs="Times New Roman"/>
      <w:b/>
      <w:kern w:val="0"/>
      <w:sz w:val="32"/>
      <w:szCs w:val="20"/>
    </w:rPr>
  </w:style>
  <w:style w:type="character" w:customStyle="1" w:styleId="88">
    <w:name w:val="标题 3 字符"/>
    <w:basedOn w:val="70"/>
    <w:link w:val="6"/>
    <w:qFormat/>
    <w:uiPriority w:val="0"/>
    <w:rPr>
      <w:rFonts w:ascii="Times New Roman" w:hAnsi="Times New Roman" w:eastAsia="黑体" w:cs="Times New Roman"/>
      <w:b/>
      <w:bCs/>
      <w:sz w:val="36"/>
      <w:szCs w:val="36"/>
    </w:rPr>
  </w:style>
  <w:style w:type="character" w:customStyle="1" w:styleId="89">
    <w:name w:val="标题 4 字符"/>
    <w:basedOn w:val="70"/>
    <w:link w:val="7"/>
    <w:qFormat/>
    <w:uiPriority w:val="0"/>
    <w:rPr>
      <w:rFonts w:ascii="Arial" w:hAnsi="Arial" w:eastAsia="黑体" w:cs="Times New Roman"/>
      <w:b/>
      <w:bCs/>
      <w:sz w:val="30"/>
      <w:szCs w:val="28"/>
    </w:rPr>
  </w:style>
  <w:style w:type="character" w:customStyle="1" w:styleId="90">
    <w:name w:val="标题 5 字符"/>
    <w:basedOn w:val="70"/>
    <w:link w:val="8"/>
    <w:qFormat/>
    <w:uiPriority w:val="0"/>
    <w:rPr>
      <w:rFonts w:ascii="Times New Roman" w:hAnsi="Times New Roman" w:eastAsia="宋体" w:cs="Times New Roman"/>
      <w:b/>
      <w:bCs/>
      <w:sz w:val="28"/>
      <w:szCs w:val="28"/>
    </w:rPr>
  </w:style>
  <w:style w:type="character" w:customStyle="1" w:styleId="91">
    <w:name w:val="标题 6 字符"/>
    <w:basedOn w:val="70"/>
    <w:link w:val="9"/>
    <w:qFormat/>
    <w:uiPriority w:val="9"/>
    <w:rPr>
      <w:rFonts w:ascii="Arial" w:hAnsi="Arial" w:eastAsia="黑体" w:cs="Times New Roman"/>
      <w:b/>
      <w:sz w:val="24"/>
      <w:szCs w:val="24"/>
    </w:rPr>
  </w:style>
  <w:style w:type="character" w:customStyle="1" w:styleId="92">
    <w:name w:val="标题 7 字符"/>
    <w:basedOn w:val="70"/>
    <w:link w:val="10"/>
    <w:qFormat/>
    <w:uiPriority w:val="9"/>
    <w:rPr>
      <w:rFonts w:ascii="Times New Roman" w:hAnsi="Times New Roman" w:eastAsia="黑体"/>
      <w:sz w:val="24"/>
      <w:szCs w:val="21"/>
    </w:rPr>
  </w:style>
  <w:style w:type="character" w:customStyle="1" w:styleId="93">
    <w:name w:val="标题 8 字符"/>
    <w:basedOn w:val="70"/>
    <w:link w:val="11"/>
    <w:qFormat/>
    <w:uiPriority w:val="9"/>
    <w:rPr>
      <w:rFonts w:ascii="Times New Roman" w:hAnsi="Times New Roman" w:eastAsia="黑体" w:cs="Times New Roman"/>
      <w:bCs/>
      <w:sz w:val="24"/>
      <w:szCs w:val="32"/>
    </w:rPr>
  </w:style>
  <w:style w:type="character" w:customStyle="1" w:styleId="94">
    <w:name w:val="标题 9 字符"/>
    <w:basedOn w:val="70"/>
    <w:link w:val="12"/>
    <w:qFormat/>
    <w:uiPriority w:val="9"/>
    <w:rPr>
      <w:rFonts w:ascii="Times New Roman" w:hAnsi="Times New Roman" w:eastAsia="黑体"/>
      <w:sz w:val="24"/>
      <w:szCs w:val="21"/>
    </w:rPr>
  </w:style>
  <w:style w:type="character" w:customStyle="1" w:styleId="95">
    <w:name w:val="文档结构图 字符"/>
    <w:basedOn w:val="70"/>
    <w:link w:val="21"/>
    <w:qFormat/>
    <w:uiPriority w:val="0"/>
    <w:rPr>
      <w:rFonts w:ascii="Times New Roman" w:hAnsi="Times New Roman" w:eastAsia="宋体" w:cs="宋体"/>
      <w:shd w:val="clear" w:color="auto" w:fill="000080"/>
    </w:rPr>
  </w:style>
  <w:style w:type="character" w:customStyle="1" w:styleId="96">
    <w:name w:val="批注文字 字符"/>
    <w:basedOn w:val="70"/>
    <w:link w:val="22"/>
    <w:qFormat/>
    <w:uiPriority w:val="0"/>
    <w:rPr>
      <w:rFonts w:ascii="Times New Roman" w:hAnsi="Times New Roman" w:eastAsia="宋体" w:cs="Times New Roman"/>
    </w:rPr>
  </w:style>
  <w:style w:type="character" w:customStyle="1" w:styleId="97">
    <w:name w:val="正文文本 3 字符"/>
    <w:basedOn w:val="70"/>
    <w:link w:val="24"/>
    <w:qFormat/>
    <w:uiPriority w:val="0"/>
    <w:rPr>
      <w:rFonts w:ascii="Times New Roman" w:hAnsi="宋体" w:eastAsia="Times New Roman" w:cs="Times New Roman"/>
      <w:b/>
      <w:sz w:val="24"/>
    </w:rPr>
  </w:style>
  <w:style w:type="character" w:customStyle="1" w:styleId="98">
    <w:name w:val="正文文本 字符"/>
    <w:basedOn w:val="70"/>
    <w:link w:val="26"/>
    <w:qFormat/>
    <w:uiPriority w:val="1"/>
    <w:rPr>
      <w:rFonts w:ascii="Times New Roman" w:hAnsi="Times New Roman" w:eastAsia="宋体" w:cs="Times New Roman"/>
    </w:rPr>
  </w:style>
  <w:style w:type="character" w:customStyle="1" w:styleId="99">
    <w:name w:val="正文文本首行缩进 字符"/>
    <w:basedOn w:val="98"/>
    <w:link w:val="27"/>
    <w:qFormat/>
    <w:uiPriority w:val="0"/>
    <w:rPr>
      <w:rFonts w:ascii="Times New Roman" w:hAnsi="Calibri" w:eastAsia="宋体" w:cs="Times New Roman"/>
      <w:kern w:val="0"/>
    </w:rPr>
  </w:style>
  <w:style w:type="character" w:customStyle="1" w:styleId="100">
    <w:name w:val="正文文本缩进 字符"/>
    <w:basedOn w:val="70"/>
    <w:qFormat/>
    <w:uiPriority w:val="99"/>
  </w:style>
  <w:style w:type="character" w:customStyle="1" w:styleId="101">
    <w:name w:val="纯文本 字符"/>
    <w:basedOn w:val="70"/>
    <w:qFormat/>
    <w:uiPriority w:val="0"/>
    <w:rPr>
      <w:rFonts w:hAnsi="Courier New" w:cs="Courier New" w:asciiTheme="minorEastAsia"/>
    </w:rPr>
  </w:style>
  <w:style w:type="character" w:customStyle="1" w:styleId="102">
    <w:name w:val="日期 字符"/>
    <w:basedOn w:val="70"/>
    <w:link w:val="40"/>
    <w:qFormat/>
    <w:uiPriority w:val="99"/>
    <w:rPr>
      <w:rFonts w:ascii="Calibri" w:hAnsi="Calibri" w:eastAsia="楷体_GB2312" w:cs="Times New Roman"/>
      <w:kern w:val="0"/>
      <w:sz w:val="32"/>
    </w:rPr>
  </w:style>
  <w:style w:type="character" w:customStyle="1" w:styleId="103">
    <w:name w:val="正文文本缩进 2 字符"/>
    <w:basedOn w:val="70"/>
    <w:link w:val="41"/>
    <w:qFormat/>
    <w:uiPriority w:val="0"/>
    <w:rPr>
      <w:rFonts w:ascii="仿宋_GB2312" w:hAnsi="宋体" w:eastAsia="宋体" w:cs="Times New Roman"/>
      <w:b/>
      <w:color w:val="000000"/>
      <w:kern w:val="0"/>
      <w:sz w:val="24"/>
    </w:rPr>
  </w:style>
  <w:style w:type="character" w:customStyle="1" w:styleId="104">
    <w:name w:val="批注框文本 字符"/>
    <w:basedOn w:val="70"/>
    <w:link w:val="44"/>
    <w:qFormat/>
    <w:uiPriority w:val="0"/>
    <w:rPr>
      <w:rFonts w:ascii="Calibri" w:hAnsi="Calibri" w:eastAsia="宋体" w:cs="Times New Roman"/>
      <w:sz w:val="18"/>
      <w:szCs w:val="18"/>
    </w:rPr>
  </w:style>
  <w:style w:type="character" w:customStyle="1" w:styleId="105">
    <w:name w:val="正文文本缩进 3 字符"/>
    <w:basedOn w:val="70"/>
    <w:link w:val="53"/>
    <w:qFormat/>
    <w:uiPriority w:val="0"/>
    <w:rPr>
      <w:rFonts w:ascii="仿宋_GB2312" w:hAnsi="宋体" w:eastAsia="Times New Roman" w:cs="Times New Roman"/>
      <w:color w:val="000000"/>
      <w:kern w:val="0"/>
      <w:sz w:val="24"/>
    </w:rPr>
  </w:style>
  <w:style w:type="character" w:customStyle="1" w:styleId="106">
    <w:name w:val="正文文本 2 字符"/>
    <w:basedOn w:val="70"/>
    <w:link w:val="56"/>
    <w:qFormat/>
    <w:uiPriority w:val="0"/>
    <w:rPr>
      <w:rFonts w:ascii="宋体" w:hAnsi="宋体" w:eastAsia="宋体" w:cs="宋体"/>
      <w:bCs/>
    </w:rPr>
  </w:style>
  <w:style w:type="character" w:customStyle="1" w:styleId="107">
    <w:name w:val="HTML 预设格式 字符"/>
    <w:basedOn w:val="70"/>
    <w:link w:val="57"/>
    <w:qFormat/>
    <w:uiPriority w:val="0"/>
    <w:rPr>
      <w:rFonts w:ascii="Courier New" w:hAnsi="Courier New" w:eastAsia="宋体" w:cs="Times New Roman"/>
      <w:kern w:val="0"/>
      <w:sz w:val="20"/>
      <w:szCs w:val="20"/>
    </w:rPr>
  </w:style>
  <w:style w:type="character" w:customStyle="1" w:styleId="108">
    <w:name w:val="批注主题 字符"/>
    <w:basedOn w:val="96"/>
    <w:link w:val="60"/>
    <w:qFormat/>
    <w:uiPriority w:val="0"/>
    <w:rPr>
      <w:rFonts w:ascii="Times New Roman" w:hAnsi="Times New Roman" w:eastAsia="宋体" w:cs="宋体"/>
      <w:b/>
      <w:bCs/>
    </w:rPr>
  </w:style>
  <w:style w:type="character" w:customStyle="1" w:styleId="109">
    <w:name w:val="正文文本首行缩进 2 字符"/>
    <w:basedOn w:val="100"/>
    <w:link w:val="2"/>
    <w:qFormat/>
    <w:uiPriority w:val="99"/>
    <w:rPr>
      <w:rFonts w:ascii="Calibri" w:hAnsi="Calibri" w:eastAsia="宋体" w:cs="Times New Roman"/>
      <w:szCs w:val="24"/>
    </w:rPr>
  </w:style>
  <w:style w:type="character" w:customStyle="1" w:styleId="110">
    <w:name w:val="正文缩进 字符"/>
    <w:link w:val="18"/>
    <w:qFormat/>
    <w:locked/>
    <w:uiPriority w:val="0"/>
    <w:rPr>
      <w:rFonts w:ascii="Times New Roman" w:hAnsi="Times New Roman" w:eastAsia="宋体" w:cs="Times New Roman"/>
      <w:kern w:val="0"/>
      <w:sz w:val="20"/>
      <w:szCs w:val="20"/>
    </w:rPr>
  </w:style>
  <w:style w:type="character" w:customStyle="1" w:styleId="111">
    <w:name w:val="题注 字符"/>
    <w:link w:val="19"/>
    <w:semiHidden/>
    <w:qFormat/>
    <w:locked/>
    <w:uiPriority w:val="0"/>
    <w:rPr>
      <w:rFonts w:ascii="Arial" w:hAnsi="Arial" w:eastAsia="黑体" w:cs="Times New Roman"/>
      <w:kern w:val="0"/>
      <w:sz w:val="20"/>
      <w:szCs w:val="20"/>
    </w:rPr>
  </w:style>
  <w:style w:type="character" w:customStyle="1" w:styleId="112">
    <w:name w:val="正文文本缩进 字符2"/>
    <w:basedOn w:val="70"/>
    <w:link w:val="3"/>
    <w:semiHidden/>
    <w:qFormat/>
    <w:uiPriority w:val="99"/>
    <w:rPr>
      <w:rFonts w:ascii="宋体" w:hAnsi="Courier New" w:eastAsia="宋体" w:cs="Times New Roman"/>
      <w:spacing w:val="-4"/>
      <w:kern w:val="0"/>
      <w:sz w:val="18"/>
    </w:rPr>
  </w:style>
  <w:style w:type="character" w:customStyle="1" w:styleId="113">
    <w:name w:val="纯文本 字符1"/>
    <w:basedOn w:val="70"/>
    <w:link w:val="36"/>
    <w:qFormat/>
    <w:uiPriority w:val="0"/>
    <w:rPr>
      <w:rFonts w:ascii="宋体" w:hAnsi="Courier New" w:eastAsia="宋体" w:cs="Times New Roman"/>
      <w:sz w:val="24"/>
    </w:rPr>
  </w:style>
  <w:style w:type="paragraph" w:styleId="114">
    <w:name w:val="List Paragraph"/>
    <w:basedOn w:val="1"/>
    <w:qFormat/>
    <w:uiPriority w:val="34"/>
    <w:pPr>
      <w:ind w:firstLine="420" w:firstLineChars="200"/>
    </w:pPr>
  </w:style>
  <w:style w:type="paragraph" w:customStyle="1" w:styleId="115">
    <w:name w:val="标题 71"/>
    <w:basedOn w:val="1"/>
    <w:next w:val="1"/>
    <w:qFormat/>
    <w:uiPriority w:val="9"/>
    <w:pPr>
      <w:keepNext/>
      <w:keepLines/>
      <w:spacing w:before="120" w:after="120"/>
      <w:outlineLvl w:val="6"/>
    </w:pPr>
    <w:rPr>
      <w:rFonts w:ascii="Times New Roman" w:hAnsi="Times New Roman" w:eastAsia="黑体"/>
      <w:sz w:val="24"/>
      <w:szCs w:val="21"/>
    </w:rPr>
  </w:style>
  <w:style w:type="paragraph" w:customStyle="1" w:styleId="116">
    <w:name w:val="标题 81"/>
    <w:basedOn w:val="1"/>
    <w:next w:val="1"/>
    <w:qFormat/>
    <w:uiPriority w:val="9"/>
    <w:pPr>
      <w:keepNext/>
      <w:keepLines/>
      <w:spacing w:before="120" w:after="120"/>
      <w:outlineLvl w:val="7"/>
    </w:pPr>
    <w:rPr>
      <w:rFonts w:ascii="Times New Roman" w:hAnsi="Times New Roman" w:eastAsia="黑体" w:cs="Times New Roman"/>
      <w:bCs/>
      <w:sz w:val="24"/>
      <w:szCs w:val="32"/>
    </w:rPr>
  </w:style>
  <w:style w:type="paragraph" w:customStyle="1" w:styleId="117">
    <w:name w:val="标题 91"/>
    <w:basedOn w:val="1"/>
    <w:next w:val="1"/>
    <w:qFormat/>
    <w:uiPriority w:val="9"/>
    <w:pPr>
      <w:keepNext/>
      <w:keepLines/>
      <w:spacing w:before="120" w:after="120"/>
      <w:outlineLvl w:val="8"/>
    </w:pPr>
    <w:rPr>
      <w:rFonts w:ascii="Times New Roman" w:hAnsi="Times New Roman" w:eastAsia="黑体"/>
      <w:sz w:val="24"/>
      <w:szCs w:val="21"/>
    </w:rPr>
  </w:style>
  <w:style w:type="paragraph" w:customStyle="1" w:styleId="118">
    <w:name w:val="表格文字"/>
    <w:basedOn w:val="1"/>
    <w:next w:val="26"/>
    <w:qFormat/>
    <w:uiPriority w:val="0"/>
    <w:rPr>
      <w:rFonts w:ascii="Times New Roman" w:hAnsi="Times New Roman" w:eastAsia="宋体" w:cs="Times New Roman"/>
      <w:sz w:val="18"/>
      <w:szCs w:val="24"/>
    </w:rPr>
  </w:style>
  <w:style w:type="paragraph" w:customStyle="1" w:styleId="119">
    <w:name w:val="Default Paragraph Font Para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20">
    <w:name w:val="默认段落字体 Para Char Char Char Char Char Char Char Char Char1 Char Char Char Char"/>
    <w:basedOn w:val="1"/>
    <w:qFormat/>
    <w:uiPriority w:val="0"/>
    <w:rPr>
      <w:rFonts w:ascii="Tahoma" w:hAnsi="Tahoma" w:eastAsia="宋体" w:cs="Times New Roman"/>
      <w:sz w:val="24"/>
    </w:rPr>
  </w:style>
  <w:style w:type="paragraph" w:customStyle="1" w:styleId="121">
    <w:name w:val="1"/>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22">
    <w:name w:val="章正文"/>
    <w:qFormat/>
    <w:uiPriority w:val="0"/>
    <w:pPr>
      <w:widowControl w:val="0"/>
      <w:spacing w:beforeLines="50" w:after="120" w:line="300" w:lineRule="auto"/>
      <w:ind w:firstLine="480"/>
      <w:jc w:val="both"/>
    </w:pPr>
    <w:rPr>
      <w:rFonts w:ascii="Algerian" w:hAnsi="Algerian" w:eastAsia="宋体" w:cs="宋体"/>
      <w:sz w:val="24"/>
      <w:szCs w:val="24"/>
      <w:lang w:val="en-US" w:eastAsia="zh-CN" w:bidi="ar-SA"/>
    </w:rPr>
  </w:style>
  <w:style w:type="paragraph" w:customStyle="1" w:styleId="123">
    <w:name w:val="列出段落5"/>
    <w:basedOn w:val="1"/>
    <w:qFormat/>
    <w:uiPriority w:val="99"/>
    <w:pPr>
      <w:ind w:firstLine="420" w:firstLineChars="200"/>
    </w:pPr>
    <w:rPr>
      <w:rFonts w:ascii="Calibri" w:hAnsi="Calibri" w:eastAsia="等线" w:cs="Times New Roman"/>
      <w:sz w:val="24"/>
      <w:szCs w:val="24"/>
    </w:rPr>
  </w:style>
  <w:style w:type="paragraph" w:customStyle="1" w:styleId="124">
    <w:name w:val="Char Char Char Char Char Char"/>
    <w:basedOn w:val="1"/>
    <w:qFormat/>
    <w:uiPriority w:val="0"/>
    <w:pPr>
      <w:widowControl/>
      <w:spacing w:after="160" w:line="240" w:lineRule="exact"/>
      <w:jc w:val="left"/>
    </w:pPr>
    <w:rPr>
      <w:rFonts w:ascii="(使用中文字体)" w:hAnsi="(使用中文字体)" w:eastAsia="宋体" w:cs="Times New Roman"/>
      <w:kern w:val="0"/>
      <w:sz w:val="20"/>
      <w:szCs w:val="20"/>
      <w:lang w:eastAsia="en-US"/>
    </w:rPr>
  </w:style>
  <w:style w:type="paragraph" w:customStyle="1" w:styleId="125">
    <w:name w:val="普通(网站)1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26">
    <w:name w:val="图"/>
    <w:basedOn w:val="1"/>
    <w:qFormat/>
    <w:uiPriority w:val="99"/>
    <w:pPr>
      <w:keepNext/>
      <w:adjustRightInd w:val="0"/>
      <w:snapToGrid w:val="0"/>
      <w:spacing w:before="60" w:after="60" w:line="300" w:lineRule="auto"/>
      <w:jc w:val="center"/>
    </w:pPr>
    <w:rPr>
      <w:rFonts w:ascii="Times New Roman" w:hAnsi="Times New Roman" w:eastAsia="宋体" w:cs="Times New Roman"/>
      <w:spacing w:val="20"/>
      <w:kern w:val="0"/>
      <w:sz w:val="24"/>
    </w:rPr>
  </w:style>
  <w:style w:type="paragraph" w:customStyle="1" w:styleId="127">
    <w:name w:val="ÕýÎÄ"/>
    <w:qFormat/>
    <w:uiPriority w:val="99"/>
    <w:pPr>
      <w:widowControl w:val="0"/>
      <w:overflowPunct w:val="0"/>
      <w:autoSpaceDE w:val="0"/>
      <w:autoSpaceDN w:val="0"/>
      <w:adjustRightInd w:val="0"/>
      <w:spacing w:line="351" w:lineRule="atLeast"/>
      <w:ind w:firstLine="419"/>
      <w:jc w:val="both"/>
    </w:pPr>
    <w:rPr>
      <w:rFonts w:ascii="Times New Roman" w:hAnsi="Times New Roman" w:eastAsia="宋体" w:cs="Times New Roman"/>
      <w:color w:val="000000"/>
      <w:sz w:val="21"/>
      <w:lang w:val="en-US" w:eastAsia="zh-CN" w:bidi="ar-SA"/>
    </w:rPr>
  </w:style>
  <w:style w:type="paragraph" w:customStyle="1" w:styleId="128">
    <w:name w:val="标准有序列表（L1）"/>
    <w:basedOn w:val="18"/>
    <w:qFormat/>
    <w:uiPriority w:val="99"/>
    <w:pPr>
      <w:numPr>
        <w:ilvl w:val="0"/>
        <w:numId w:val="2"/>
      </w:numPr>
      <w:tabs>
        <w:tab w:val="left" w:pos="0"/>
        <w:tab w:val="left" w:pos="2280"/>
      </w:tabs>
      <w:spacing w:line="360" w:lineRule="auto"/>
      <w:ind w:left="0" w:firstLine="0"/>
    </w:pPr>
    <w:rPr>
      <w:rFonts w:ascii="黑体" w:eastAsia="黑体"/>
      <w:color w:val="000000"/>
      <w:sz w:val="24"/>
    </w:rPr>
  </w:style>
  <w:style w:type="paragraph" w:customStyle="1" w:styleId="129">
    <w:name w:val="f1"/>
    <w:basedOn w:val="1"/>
    <w:qFormat/>
    <w:uiPriority w:val="99"/>
    <w:pPr>
      <w:widowControl/>
      <w:spacing w:before="100" w:beforeAutospacing="1" w:after="100" w:afterAutospacing="1"/>
      <w:jc w:val="center"/>
    </w:pPr>
    <w:rPr>
      <w:rFonts w:ascii="Algerian" w:hAnsi="Algerian" w:eastAsia="宋体" w:cs="Algerian"/>
      <w:b/>
      <w:bCs/>
      <w:color w:val="FF8080"/>
      <w:spacing w:val="160"/>
      <w:kern w:val="0"/>
      <w:sz w:val="80"/>
      <w:szCs w:val="80"/>
    </w:rPr>
  </w:style>
  <w:style w:type="paragraph" w:customStyle="1" w:styleId="130">
    <w:name w:val="表格"/>
    <w:basedOn w:val="1"/>
    <w:qFormat/>
    <w:uiPriority w:val="99"/>
    <w:pPr>
      <w:snapToGrid w:val="0"/>
      <w:spacing w:after="120"/>
    </w:pPr>
    <w:rPr>
      <w:rFonts w:ascii="仿宋_GB2312" w:hAnsi="Tahoma" w:eastAsia="Times New Roman" w:cs="Tahoma"/>
      <w:color w:val="000000"/>
      <w:kern w:val="0"/>
      <w:sz w:val="24"/>
      <w:szCs w:val="24"/>
    </w:rPr>
  </w:style>
  <w:style w:type="character" w:customStyle="1" w:styleId="131">
    <w:name w:val="GW-正文 Char"/>
    <w:link w:val="132"/>
    <w:qFormat/>
    <w:locked/>
    <w:uiPriority w:val="0"/>
    <w:rPr>
      <w:rFonts w:ascii="Arial Narrow" w:hAnsi="Arial Narrow" w:eastAsia="宋体" w:cs="Times New Roman"/>
      <w:kern w:val="0"/>
      <w:sz w:val="24"/>
      <w:szCs w:val="20"/>
    </w:rPr>
  </w:style>
  <w:style w:type="paragraph" w:customStyle="1" w:styleId="132">
    <w:name w:val="GW-正文"/>
    <w:basedOn w:val="1"/>
    <w:link w:val="131"/>
    <w:qFormat/>
    <w:uiPriority w:val="0"/>
    <w:pPr>
      <w:spacing w:line="360" w:lineRule="auto"/>
      <w:ind w:firstLine="200" w:firstLineChars="200"/>
      <w:contextualSpacing/>
    </w:pPr>
    <w:rPr>
      <w:rFonts w:ascii="Arial Narrow" w:hAnsi="Arial Narrow" w:eastAsia="宋体" w:cs="Times New Roman"/>
      <w:kern w:val="0"/>
      <w:sz w:val="24"/>
      <w:szCs w:val="20"/>
    </w:rPr>
  </w:style>
  <w:style w:type="paragraph" w:customStyle="1" w:styleId="133">
    <w:name w:val="Char Char10"/>
    <w:basedOn w:val="1"/>
    <w:qFormat/>
    <w:uiPriority w:val="99"/>
    <w:pPr>
      <w:widowControl/>
      <w:spacing w:after="160" w:line="240" w:lineRule="exact"/>
      <w:jc w:val="left"/>
    </w:pPr>
    <w:rPr>
      <w:rFonts w:ascii="Times New Roman" w:hAnsi="Times New Roman" w:eastAsia="宋体" w:cs="Times New Roman"/>
      <w:kern w:val="0"/>
      <w:sz w:val="20"/>
      <w:szCs w:val="24"/>
    </w:rPr>
  </w:style>
  <w:style w:type="paragraph" w:customStyle="1" w:styleId="134">
    <w:name w:val="正文文本缩进11"/>
    <w:basedOn w:val="1"/>
    <w:qFormat/>
    <w:uiPriority w:val="99"/>
    <w:pPr>
      <w:spacing w:line="200" w:lineRule="exact"/>
      <w:ind w:firstLine="301"/>
    </w:pPr>
    <w:rPr>
      <w:rFonts w:ascii="Calibri" w:hAnsi="Calibri" w:eastAsia="宋体" w:cs="Times New Roman"/>
      <w:szCs w:val="20"/>
    </w:rPr>
  </w:style>
  <w:style w:type="paragraph" w:customStyle="1" w:styleId="135">
    <w:name w:val="Char Char Char Char"/>
    <w:basedOn w:val="1"/>
    <w:qFormat/>
    <w:uiPriority w:val="0"/>
    <w:pPr>
      <w:widowControl/>
      <w:spacing w:after="160" w:line="240" w:lineRule="exact"/>
      <w:jc w:val="left"/>
    </w:pPr>
    <w:rPr>
      <w:rFonts w:ascii="Arial" w:hAnsi="Arial" w:eastAsia="宋体" w:cs="Verdana"/>
      <w:b/>
      <w:kern w:val="0"/>
      <w:sz w:val="24"/>
      <w:szCs w:val="20"/>
      <w:lang w:eastAsia="en-US"/>
    </w:rPr>
  </w:style>
  <w:style w:type="paragraph" w:customStyle="1" w:styleId="136">
    <w:name w:val="首行缩进2字符"/>
    <w:basedOn w:val="1"/>
    <w:qFormat/>
    <w:uiPriority w:val="99"/>
    <w:pPr>
      <w:spacing w:line="360" w:lineRule="auto"/>
      <w:ind w:firstLine="200" w:firstLineChars="200"/>
    </w:pPr>
    <w:rPr>
      <w:rFonts w:ascii="Calibri" w:hAnsi="Calibri" w:eastAsia="宋体" w:cs="Times New Roman"/>
      <w:sz w:val="24"/>
      <w:szCs w:val="21"/>
    </w:rPr>
  </w:style>
  <w:style w:type="paragraph" w:customStyle="1" w:styleId="137">
    <w:name w:val="默认段落字体 Para Char"/>
    <w:basedOn w:val="1"/>
    <w:qFormat/>
    <w:uiPriority w:val="0"/>
    <w:rPr>
      <w:rFonts w:ascii="Times New Roman" w:hAnsi="Times New Roman" w:eastAsia="宋体" w:cs="Times New Roman"/>
      <w:szCs w:val="20"/>
    </w:rPr>
  </w:style>
  <w:style w:type="character" w:customStyle="1" w:styleId="138">
    <w:name w:val="Char Char3"/>
    <w:link w:val="139"/>
    <w:qFormat/>
    <w:locked/>
    <w:uiPriority w:val="0"/>
    <w:rPr>
      <w:rFonts w:ascii="Calibri" w:hAnsi="Calibri" w:eastAsia="宋体" w:cs="Times New Roman"/>
      <w:kern w:val="0"/>
      <w:sz w:val="24"/>
      <w:szCs w:val="20"/>
    </w:rPr>
  </w:style>
  <w:style w:type="paragraph" w:customStyle="1" w:styleId="139">
    <w:name w:val="Char"/>
    <w:basedOn w:val="1"/>
    <w:link w:val="138"/>
    <w:qFormat/>
    <w:uiPriority w:val="0"/>
    <w:rPr>
      <w:rFonts w:ascii="Calibri" w:hAnsi="Calibri" w:eastAsia="宋体" w:cs="Times New Roman"/>
      <w:kern w:val="0"/>
      <w:sz w:val="24"/>
      <w:szCs w:val="20"/>
    </w:rPr>
  </w:style>
  <w:style w:type="paragraph" w:customStyle="1" w:styleId="140">
    <w:name w:val="正文段"/>
    <w:basedOn w:val="1"/>
    <w:qFormat/>
    <w:uiPriority w:val="0"/>
    <w:pPr>
      <w:widowControl/>
      <w:snapToGrid w:val="0"/>
      <w:ind w:firstLine="200" w:firstLineChars="200"/>
    </w:pPr>
    <w:rPr>
      <w:rFonts w:ascii="Times New Roman" w:hAnsi="Times New Roman" w:eastAsia="宋体" w:cs="Times New Roman"/>
      <w:kern w:val="0"/>
      <w:sz w:val="24"/>
      <w:szCs w:val="20"/>
    </w:rPr>
  </w:style>
  <w:style w:type="paragraph" w:customStyle="1" w:styleId="141">
    <w:name w:val="自动更正"/>
    <w:qFormat/>
    <w:uiPriority w:val="0"/>
    <w:pPr>
      <w:widowControl w:val="0"/>
      <w:jc w:val="both"/>
    </w:pPr>
    <w:rPr>
      <w:rFonts w:ascii="Calibri" w:hAnsi="Calibri" w:eastAsia="宋体" w:cs="Times New Roman"/>
      <w:kern w:val="2"/>
      <w:sz w:val="21"/>
      <w:szCs w:val="24"/>
      <w:lang w:val="en-US" w:eastAsia="zh-CN" w:bidi="ar-SA"/>
    </w:rPr>
  </w:style>
  <w:style w:type="character" w:customStyle="1" w:styleId="142">
    <w:name w:val="列出段落 Char"/>
    <w:link w:val="143"/>
    <w:qFormat/>
    <w:locked/>
    <w:uiPriority w:val="0"/>
    <w:rPr>
      <w:rFonts w:ascii="Calibri" w:hAnsi="Calibri" w:eastAsia="宋体" w:cs="Times New Roman"/>
      <w:kern w:val="0"/>
      <w:sz w:val="24"/>
      <w:szCs w:val="20"/>
    </w:rPr>
  </w:style>
  <w:style w:type="paragraph" w:customStyle="1" w:styleId="143">
    <w:name w:val="列出段落1"/>
    <w:basedOn w:val="1"/>
    <w:link w:val="142"/>
    <w:qFormat/>
    <w:uiPriority w:val="0"/>
    <w:pPr>
      <w:ind w:firstLine="420" w:firstLineChars="200"/>
    </w:pPr>
    <w:rPr>
      <w:rFonts w:ascii="Calibri" w:hAnsi="Calibri" w:eastAsia="宋体" w:cs="Times New Roman"/>
      <w:kern w:val="0"/>
      <w:sz w:val="24"/>
      <w:szCs w:val="20"/>
    </w:rPr>
  </w:style>
  <w:style w:type="paragraph" w:customStyle="1" w:styleId="144">
    <w:name w:val="书籍标题1"/>
    <w:basedOn w:val="1"/>
    <w:next w:val="1"/>
    <w:qFormat/>
    <w:uiPriority w:val="99"/>
    <w:pPr>
      <w:pageBreakBefore/>
      <w:widowControl/>
      <w:numPr>
        <w:ilvl w:val="0"/>
        <w:numId w:val="3"/>
      </w:numPr>
      <w:spacing w:beforeLines="200"/>
      <w:ind w:left="2520"/>
      <w:jc w:val="center"/>
      <w:outlineLvl w:val="0"/>
    </w:pPr>
    <w:rPr>
      <w:rFonts w:ascii="Times New Roman" w:hAnsi="Times New Roman" w:eastAsia="黑体" w:cs="Times New Roman"/>
      <w:b/>
      <w:spacing w:val="20"/>
      <w:kern w:val="44"/>
      <w:sz w:val="44"/>
    </w:rPr>
  </w:style>
  <w:style w:type="paragraph" w:customStyle="1" w:styleId="145">
    <w:name w:val="正文_20"/>
    <w:qFormat/>
    <w:uiPriority w:val="99"/>
    <w:pPr>
      <w:widowControl w:val="0"/>
      <w:jc w:val="both"/>
    </w:pPr>
    <w:rPr>
      <w:rFonts w:ascii="Times New Roman" w:hAnsi="Times New Roman" w:eastAsia="等线" w:cs="Times New Roman"/>
      <w:kern w:val="2"/>
      <w:sz w:val="21"/>
      <w:szCs w:val="24"/>
      <w:lang w:val="en-US" w:eastAsia="zh-CN" w:bidi="ar-SA"/>
    </w:rPr>
  </w:style>
  <w:style w:type="paragraph" w:customStyle="1" w:styleId="146">
    <w:name w:val="Table Paragraph"/>
    <w:basedOn w:val="1"/>
    <w:qFormat/>
    <w:uiPriority w:val="1"/>
    <w:pPr>
      <w:spacing w:before="119"/>
    </w:pPr>
    <w:rPr>
      <w:rFonts w:ascii="宋体" w:hAnsi="宋体" w:eastAsia="宋体" w:cs="宋体"/>
      <w:szCs w:val="24"/>
      <w:lang w:val="zh-CN"/>
    </w:rPr>
  </w:style>
  <w:style w:type="paragraph" w:customStyle="1" w:styleId="147">
    <w:name w:val="表内文字"/>
    <w:basedOn w:val="1"/>
    <w:qFormat/>
    <w:uiPriority w:val="0"/>
    <w:pPr>
      <w:tabs>
        <w:tab w:val="left" w:pos="1418"/>
      </w:tabs>
      <w:spacing w:line="360" w:lineRule="auto"/>
      <w:jc w:val="center"/>
    </w:pPr>
    <w:rPr>
      <w:rFonts w:ascii="仿宋_GB2312" w:hAnsi="Times New Roman" w:eastAsia="Times New Roman" w:cs="Times New Roman"/>
      <w:spacing w:val="-20"/>
      <w:kern w:val="0"/>
      <w:sz w:val="24"/>
    </w:rPr>
  </w:style>
  <w:style w:type="paragraph" w:customStyle="1" w:styleId="148">
    <w:name w:val="样式2"/>
    <w:basedOn w:val="139"/>
    <w:qFormat/>
    <w:uiPriority w:val="99"/>
    <w:pPr>
      <w:tabs>
        <w:tab w:val="left" w:pos="432"/>
      </w:tabs>
      <w:spacing w:beforeLines="50"/>
      <w:ind w:left="432" w:hanging="432"/>
    </w:pPr>
    <w:rPr>
      <w:b/>
      <w:szCs w:val="21"/>
      <w:u w:val="thick"/>
    </w:rPr>
  </w:style>
  <w:style w:type="paragraph" w:customStyle="1" w:styleId="149">
    <w:name w:val="样式1"/>
    <w:basedOn w:val="139"/>
    <w:link w:val="416"/>
    <w:qFormat/>
    <w:uiPriority w:val="0"/>
    <w:pPr>
      <w:tabs>
        <w:tab w:val="left" w:pos="432"/>
      </w:tabs>
      <w:spacing w:beforeLines="50"/>
      <w:ind w:left="642" w:leftChars="100" w:right="100" w:rightChars="100" w:hanging="432"/>
      <w:jc w:val="right"/>
    </w:pPr>
    <w:rPr>
      <w:b/>
      <w:i/>
      <w:szCs w:val="21"/>
      <w:u w:val="thick"/>
    </w:rPr>
  </w:style>
  <w:style w:type="paragraph" w:customStyle="1" w:styleId="150">
    <w:name w:val="正文 New"/>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正文首行缩进2字符 Char Char"/>
    <w:link w:val="152"/>
    <w:qFormat/>
    <w:locked/>
    <w:uiPriority w:val="0"/>
    <w:rPr>
      <w:rFonts w:ascii="Times New Roman" w:hAnsi="Times New Roman" w:eastAsia="宋体" w:cs="Times New Roman"/>
      <w:kern w:val="0"/>
      <w:sz w:val="24"/>
      <w:szCs w:val="20"/>
    </w:rPr>
  </w:style>
  <w:style w:type="paragraph" w:customStyle="1" w:styleId="152">
    <w:name w:val="正文首行缩进2字符"/>
    <w:basedOn w:val="1"/>
    <w:link w:val="151"/>
    <w:qFormat/>
    <w:uiPriority w:val="0"/>
    <w:pPr>
      <w:spacing w:line="360" w:lineRule="auto"/>
      <w:ind w:firstLine="200" w:firstLineChars="200"/>
    </w:pPr>
    <w:rPr>
      <w:rFonts w:ascii="Times New Roman" w:hAnsi="Times New Roman" w:eastAsia="宋体" w:cs="Times New Roman"/>
      <w:kern w:val="0"/>
      <w:sz w:val="24"/>
      <w:szCs w:val="20"/>
    </w:rPr>
  </w:style>
  <w:style w:type="paragraph" w:customStyle="1" w:styleId="153">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4">
    <w:name w:val="表格内容 字符"/>
    <w:link w:val="155"/>
    <w:qFormat/>
    <w:locked/>
    <w:uiPriority w:val="0"/>
    <w:rPr>
      <w:rFonts w:ascii="仿宋" w:hAnsi="仿宋" w:eastAsia="仿宋" w:cs="Times New Roman"/>
      <w:kern w:val="0"/>
      <w:sz w:val="24"/>
    </w:rPr>
  </w:style>
  <w:style w:type="paragraph" w:customStyle="1" w:styleId="155">
    <w:name w:val="表格内容"/>
    <w:next w:val="152"/>
    <w:link w:val="154"/>
    <w:qFormat/>
    <w:uiPriority w:val="0"/>
    <w:pPr>
      <w:jc w:val="center"/>
    </w:pPr>
    <w:rPr>
      <w:rFonts w:ascii="仿宋" w:hAnsi="仿宋" w:eastAsia="仿宋" w:cs="Times New Roman"/>
      <w:sz w:val="24"/>
      <w:szCs w:val="22"/>
      <w:lang w:val="en-US" w:eastAsia="zh-CN" w:bidi="ar-SA"/>
    </w:rPr>
  </w:style>
  <w:style w:type="paragraph" w:customStyle="1" w:styleId="156">
    <w:name w:val="Default"/>
    <w:qForma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 w:type="paragraph" w:customStyle="1" w:styleId="157">
    <w:name w:val="列项中圆1"/>
    <w:basedOn w:val="1"/>
    <w:next w:val="1"/>
    <w:qFormat/>
    <w:uiPriority w:val="99"/>
    <w:pPr>
      <w:tabs>
        <w:tab w:val="left" w:pos="839"/>
      </w:tabs>
      <w:spacing w:line="300" w:lineRule="auto"/>
      <w:ind w:left="839" w:hanging="419"/>
    </w:pPr>
    <w:rPr>
      <w:rFonts w:ascii="Times New Roman" w:hAnsi="Times New Roman" w:eastAsia="宋体" w:cs="Times New Roman"/>
      <w:kern w:val="21"/>
      <w:szCs w:val="20"/>
    </w:rPr>
  </w:style>
  <w:style w:type="paragraph" w:customStyle="1" w:styleId="158">
    <w:name w:val="xl30"/>
    <w:basedOn w:val="1"/>
    <w:qFormat/>
    <w:uiPriority w:val="0"/>
    <w:pPr>
      <w:widowControl/>
      <w:spacing w:before="100" w:beforeAutospacing="1" w:after="100" w:afterAutospacing="1"/>
      <w:jc w:val="center"/>
    </w:pPr>
    <w:rPr>
      <w:rFonts w:ascii="楷体_GB2312" w:hAnsi="宋体" w:eastAsia="楷体_GB2312" w:cs="Times New Roman"/>
      <w:b/>
      <w:kern w:val="0"/>
      <w:sz w:val="32"/>
    </w:rPr>
  </w:style>
  <w:style w:type="paragraph" w:customStyle="1" w:styleId="159">
    <w:name w:val="文档正文"/>
    <w:basedOn w:val="1"/>
    <w:qFormat/>
    <w:uiPriority w:val="0"/>
    <w:rPr>
      <w:rFonts w:ascii="宋体" w:hAnsi="宋体" w:eastAsia="宋体" w:cs="Arial"/>
      <w:bCs/>
      <w:szCs w:val="21"/>
    </w:rPr>
  </w:style>
  <w:style w:type="paragraph" w:customStyle="1" w:styleId="160">
    <w:name w:val="p15"/>
    <w:basedOn w:val="1"/>
    <w:qFormat/>
    <w:uiPriority w:val="0"/>
    <w:pPr>
      <w:widowControl/>
      <w:spacing w:line="200" w:lineRule="atLeast"/>
      <w:ind w:firstLine="301"/>
    </w:pPr>
    <w:rPr>
      <w:rFonts w:ascii="宋体" w:hAnsi="宋体" w:eastAsia="宋体" w:cs="宋体"/>
      <w:spacing w:val="-4"/>
      <w:kern w:val="0"/>
      <w:sz w:val="18"/>
      <w:szCs w:val="18"/>
    </w:rPr>
  </w:style>
  <w:style w:type="character" w:customStyle="1" w:styleId="161">
    <w:name w:val="无间隔 Char"/>
    <w:link w:val="162"/>
    <w:qFormat/>
    <w:locked/>
    <w:uiPriority w:val="0"/>
    <w:rPr>
      <w:rFonts w:ascii="Calibri" w:hAnsi="Calibri" w:eastAsia="宋体" w:cs="Times New Roman"/>
      <w:kern w:val="0"/>
      <w:sz w:val="22"/>
    </w:rPr>
  </w:style>
  <w:style w:type="paragraph" w:customStyle="1" w:styleId="162">
    <w:name w:val="无间隔1"/>
    <w:link w:val="161"/>
    <w:qFormat/>
    <w:uiPriority w:val="0"/>
    <w:rPr>
      <w:rFonts w:ascii="Calibri" w:hAnsi="Calibri" w:eastAsia="宋体" w:cs="Times New Roman"/>
      <w:sz w:val="22"/>
      <w:szCs w:val="22"/>
      <w:lang w:val="en-US" w:eastAsia="zh-CN" w:bidi="ar-SA"/>
    </w:rPr>
  </w:style>
  <w:style w:type="paragraph" w:customStyle="1" w:styleId="163">
    <w:name w:val="纯文本1"/>
    <w:basedOn w:val="1"/>
    <w:link w:val="379"/>
    <w:qFormat/>
    <w:uiPriority w:val="0"/>
    <w:pPr>
      <w:spacing w:beforeLines="50" w:line="400" w:lineRule="exact"/>
    </w:pPr>
    <w:rPr>
      <w:rFonts w:ascii="宋体" w:hAnsi="Courier New" w:eastAsia="Times New Roman" w:cs="Times New Roman"/>
      <w:sz w:val="30"/>
      <w:szCs w:val="24"/>
    </w:rPr>
  </w:style>
  <w:style w:type="paragraph" w:customStyle="1" w:styleId="164">
    <w:name w:val="缩进4"/>
    <w:basedOn w:val="1"/>
    <w:qFormat/>
    <w:uiPriority w:val="99"/>
    <w:pPr>
      <w:autoSpaceDE w:val="0"/>
      <w:autoSpaceDN w:val="0"/>
      <w:adjustRightInd w:val="0"/>
      <w:spacing w:line="288" w:lineRule="auto"/>
      <w:ind w:left="227"/>
    </w:pPr>
    <w:rPr>
      <w:rFonts w:ascii="方正黑体简体" w:hAnsi="Calibri" w:eastAsia="方正黑体简体" w:cs="方正黑体简体"/>
      <w:color w:val="000000"/>
      <w:kern w:val="0"/>
      <w:sz w:val="18"/>
      <w:szCs w:val="18"/>
      <w:lang w:val="zh-CN"/>
    </w:rPr>
  </w:style>
  <w:style w:type="paragraph" w:customStyle="1" w:styleId="165">
    <w:name w:val="_Style 130"/>
    <w:basedOn w:val="1"/>
    <w:next w:val="143"/>
    <w:qFormat/>
    <w:uiPriority w:val="99"/>
    <w:pPr>
      <w:ind w:firstLine="420" w:firstLineChars="200"/>
    </w:pPr>
    <w:rPr>
      <w:rFonts w:ascii="Times New Roman" w:hAnsi="Times New Roman" w:eastAsia="宋体" w:cs="Times New Roman"/>
      <w:szCs w:val="20"/>
    </w:rPr>
  </w:style>
  <w:style w:type="paragraph" w:customStyle="1" w:styleId="166">
    <w:name w:val="0正文"/>
    <w:basedOn w:val="1"/>
    <w:qFormat/>
    <w:uiPriority w:val="99"/>
    <w:pPr>
      <w:spacing w:line="560" w:lineRule="exact"/>
      <w:ind w:firstLine="200" w:firstLineChars="200"/>
    </w:pPr>
    <w:rPr>
      <w:rFonts w:ascii="Tahoma" w:hAnsi="Tahoma" w:eastAsia="宋体" w:cs="Times New Roman"/>
    </w:rPr>
  </w:style>
  <w:style w:type="paragraph" w:customStyle="1" w:styleId="167">
    <w:name w:val="正文（本文）"/>
    <w:basedOn w:val="1"/>
    <w:qFormat/>
    <w:uiPriority w:val="99"/>
    <w:pPr>
      <w:snapToGrid w:val="0"/>
      <w:spacing w:line="360" w:lineRule="auto"/>
      <w:ind w:firstLine="480" w:firstLineChars="200"/>
    </w:pPr>
    <w:rPr>
      <w:rFonts w:ascii="Times New Roman" w:hAnsi="Times New Roman" w:eastAsia="宋体" w:cs="Times New Roman"/>
      <w:sz w:val="24"/>
      <w:szCs w:val="24"/>
    </w:rPr>
  </w:style>
  <w:style w:type="paragraph" w:customStyle="1" w:styleId="168">
    <w:name w:val="l正文"/>
    <w:basedOn w:val="1"/>
    <w:qFormat/>
    <w:uiPriority w:val="0"/>
    <w:pPr>
      <w:spacing w:line="300" w:lineRule="auto"/>
      <w:ind w:firstLine="200" w:firstLineChars="200"/>
      <w:jc w:val="left"/>
    </w:pPr>
    <w:rPr>
      <w:rFonts w:ascii="楷体_GB2312" w:hAnsi="Chiller" w:eastAsia="楷体_GB2312" w:cs="等线"/>
      <w:sz w:val="24"/>
      <w:szCs w:val="24"/>
    </w:rPr>
  </w:style>
  <w:style w:type="paragraph" w:customStyle="1" w:styleId="169">
    <w:name w:val="_Style 4"/>
    <w:basedOn w:val="1"/>
    <w:qFormat/>
    <w:uiPriority w:val="99"/>
    <w:pPr>
      <w:ind w:firstLine="420" w:firstLineChars="200"/>
      <w:jc w:val="left"/>
    </w:pPr>
    <w:rPr>
      <w:rFonts w:ascii="Calibri" w:hAnsi="Calibri" w:eastAsia="宋体" w:cs="Times New Roman"/>
      <w:kern w:val="0"/>
      <w:sz w:val="18"/>
      <w:szCs w:val="24"/>
      <w:lang w:eastAsia="zh-TW"/>
    </w:rPr>
  </w:style>
  <w:style w:type="paragraph" w:customStyle="1" w:styleId="170">
    <w:name w:val="列出段落2"/>
    <w:basedOn w:val="1"/>
    <w:qFormat/>
    <w:uiPriority w:val="0"/>
    <w:pPr>
      <w:ind w:firstLine="420" w:firstLineChars="200"/>
    </w:pPr>
    <w:rPr>
      <w:rFonts w:ascii="Calibri" w:hAnsi="Calibri" w:eastAsia="宋体" w:cs="Times New Roman"/>
      <w:szCs w:val="24"/>
    </w:rPr>
  </w:style>
  <w:style w:type="paragraph" w:customStyle="1" w:styleId="171">
    <w:name w:val="正文1"/>
    <w:link w:val="518"/>
    <w:qFormat/>
    <w:uiPriority w:val="0"/>
    <w:pPr>
      <w:widowControl w:val="0"/>
      <w:jc w:val="both"/>
    </w:pPr>
    <w:rPr>
      <w:rFonts w:ascii="Calibri" w:hAnsi="Calibri" w:eastAsia="宋体" w:cs="Calibri"/>
      <w:kern w:val="2"/>
      <w:sz w:val="21"/>
      <w:szCs w:val="21"/>
      <w:lang w:val="en-US" w:eastAsia="zh-CN" w:bidi="ar-SA"/>
    </w:rPr>
  </w:style>
  <w:style w:type="paragraph" w:customStyle="1" w:styleId="172">
    <w:name w:val="WPSOffice手动目录 1"/>
    <w:qFormat/>
    <w:uiPriority w:val="0"/>
    <w:rPr>
      <w:rFonts w:ascii="Times New Roman" w:hAnsi="Times New Roman" w:eastAsia="宋体" w:cs="Times New Roman"/>
      <w:lang w:val="en-US" w:eastAsia="zh-CN" w:bidi="ar-SA"/>
    </w:rPr>
  </w:style>
  <w:style w:type="paragraph" w:customStyle="1" w:styleId="173">
    <w:name w:val="正文2"/>
    <w:basedOn w:val="1"/>
    <w:link w:val="411"/>
    <w:qFormat/>
    <w:uiPriority w:val="0"/>
    <w:pPr>
      <w:spacing w:before="156" w:line="360" w:lineRule="auto"/>
      <w:ind w:firstLine="510" w:firstLineChars="200"/>
    </w:pPr>
    <w:rPr>
      <w:rFonts w:ascii="Times New Roman" w:hAnsi="Times New Roman" w:eastAsia="宋体" w:cs="Times New Roman"/>
      <w:sz w:val="24"/>
      <w:szCs w:val="20"/>
    </w:rPr>
  </w:style>
  <w:style w:type="character" w:customStyle="1" w:styleId="174">
    <w:name w:val="正文 首行缩进:  2 字符 Char Char Char"/>
    <w:link w:val="175"/>
    <w:qFormat/>
    <w:locked/>
    <w:uiPriority w:val="0"/>
    <w:rPr>
      <w:sz w:val="24"/>
    </w:rPr>
  </w:style>
  <w:style w:type="paragraph" w:customStyle="1" w:styleId="175">
    <w:name w:val="正文 首行缩进:  2 字符 Char"/>
    <w:basedOn w:val="1"/>
    <w:link w:val="174"/>
    <w:qFormat/>
    <w:uiPriority w:val="0"/>
    <w:pPr>
      <w:spacing w:line="360" w:lineRule="auto"/>
      <w:ind w:firstLine="480"/>
    </w:pPr>
    <w:rPr>
      <w:sz w:val="24"/>
    </w:rPr>
  </w:style>
  <w:style w:type="character" w:customStyle="1" w:styleId="176">
    <w:name w:val="样式 首行缩进:  0 字符 Char"/>
    <w:link w:val="177"/>
    <w:qFormat/>
    <w:locked/>
    <w:uiPriority w:val="0"/>
    <w:rPr>
      <w:rFonts w:ascii="Arial" w:hAnsi="Arial" w:eastAsia="宋体" w:cs="Times New Roman"/>
      <w:kern w:val="0"/>
      <w:sz w:val="20"/>
      <w:szCs w:val="20"/>
    </w:rPr>
  </w:style>
  <w:style w:type="paragraph" w:customStyle="1" w:styleId="177">
    <w:name w:val="样式 首行缩进:  0 字符"/>
    <w:basedOn w:val="1"/>
    <w:link w:val="176"/>
    <w:qFormat/>
    <w:uiPriority w:val="0"/>
    <w:pPr>
      <w:spacing w:line="360" w:lineRule="auto"/>
      <w:ind w:firstLine="200" w:firstLineChars="200"/>
    </w:pPr>
    <w:rPr>
      <w:rFonts w:ascii="Arial" w:hAnsi="Arial" w:eastAsia="宋体" w:cs="Times New Roman"/>
      <w:kern w:val="0"/>
      <w:sz w:val="20"/>
      <w:szCs w:val="20"/>
    </w:rPr>
  </w:style>
  <w:style w:type="paragraph" w:customStyle="1" w:styleId="178">
    <w:name w:val="正文 A"/>
    <w:qFormat/>
    <w:uiPriority w:val="99"/>
    <w:pPr>
      <w:widowControl w:val="0"/>
      <w:jc w:val="both"/>
    </w:pPr>
    <w:rPr>
      <w:rFonts w:ascii="Arial Unicode MS" w:hAnsi="Times New Roman" w:eastAsia="Arial Unicode MS" w:cs="Arial Unicode MS"/>
      <w:color w:val="000000"/>
      <w:kern w:val="2"/>
      <w:sz w:val="28"/>
      <w:szCs w:val="28"/>
      <w:u w:color="000000"/>
      <w:lang w:val="en-US" w:eastAsia="zh-CN" w:bidi="ar-SA"/>
    </w:rPr>
  </w:style>
  <w:style w:type="paragraph" w:customStyle="1" w:styleId="179">
    <w:name w:val="Proposals body"/>
    <w:basedOn w:val="1"/>
    <w:next w:val="1"/>
    <w:qFormat/>
    <w:uiPriority w:val="99"/>
    <w:pPr>
      <w:widowControl/>
      <w:spacing w:line="460" w:lineRule="exact"/>
      <w:jc w:val="left"/>
    </w:pPr>
    <w:rPr>
      <w:rFonts w:ascii="仿宋_GB2312" w:hAnsi="Times New Roman" w:eastAsia="Times New Roman" w:cs="Times New Roman"/>
      <w:kern w:val="0"/>
      <w:sz w:val="24"/>
      <w:szCs w:val="24"/>
    </w:rPr>
  </w:style>
  <w:style w:type="paragraph" w:customStyle="1" w:styleId="180">
    <w:name w:val="目录 71"/>
    <w:next w:val="1"/>
    <w:qFormat/>
    <w:uiPriority w:val="99"/>
    <w:pPr>
      <w:wordWrap w:val="0"/>
      <w:ind w:left="2550"/>
      <w:jc w:val="both"/>
    </w:pPr>
    <w:rPr>
      <w:rFonts w:ascii="Times New Roman" w:hAnsi="Times New Roman" w:eastAsia="宋体" w:cs="Times New Roman"/>
      <w:sz w:val="21"/>
      <w:szCs w:val="22"/>
      <w:lang w:val="en-US" w:eastAsia="zh-CN" w:bidi="ar-SA"/>
    </w:rPr>
  </w:style>
  <w:style w:type="paragraph" w:customStyle="1" w:styleId="181">
    <w:name w:val="title11"/>
    <w:basedOn w:val="1"/>
    <w:qFormat/>
    <w:uiPriority w:val="99"/>
    <w:pPr>
      <w:spacing w:before="150"/>
      <w:jc w:val="left"/>
    </w:pPr>
    <w:rPr>
      <w:rFonts w:ascii="Times New Roman" w:hAnsi="Times New Roman" w:eastAsia="宋体" w:cs="Times New Roman"/>
      <w:b/>
      <w:kern w:val="0"/>
      <w:sz w:val="28"/>
      <w:szCs w:val="24"/>
    </w:rPr>
  </w:style>
  <w:style w:type="paragraph" w:customStyle="1" w:styleId="182">
    <w:name w:val="标题 10"/>
    <w:basedOn w:val="5"/>
    <w:qFormat/>
    <w:uiPriority w:val="99"/>
    <w:pPr>
      <w:spacing w:before="0" w:after="0" w:line="360" w:lineRule="auto"/>
      <w:jc w:val="center"/>
    </w:pPr>
    <w:rPr>
      <w:rFonts w:ascii="Cambria" w:hAnsi="Cambria" w:eastAsia="宋体"/>
      <w:bCs/>
      <w:sz w:val="21"/>
      <w:szCs w:val="32"/>
    </w:rPr>
  </w:style>
  <w:style w:type="paragraph" w:customStyle="1" w:styleId="183">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sz w:val="21"/>
      <w:szCs w:val="22"/>
      <w:lang w:val="en-US" w:eastAsia="zh-CN" w:bidi="ar-SA"/>
    </w:rPr>
  </w:style>
  <w:style w:type="paragraph" w:customStyle="1" w:styleId="184">
    <w:name w:val="TOC 71"/>
    <w:next w:val="1"/>
    <w:qFormat/>
    <w:uiPriority w:val="99"/>
    <w:pPr>
      <w:wordWrap w:val="0"/>
      <w:ind w:left="2550"/>
      <w:jc w:val="both"/>
    </w:pPr>
    <w:rPr>
      <w:rFonts w:ascii="Times New Roman" w:hAnsi="Times New Roman" w:eastAsia="宋体" w:cs="Times New Roman"/>
      <w:sz w:val="21"/>
      <w:szCs w:val="22"/>
      <w:lang w:val="en-US" w:eastAsia="zh-CN" w:bidi="ar-SA"/>
    </w:rPr>
  </w:style>
  <w:style w:type="paragraph" w:customStyle="1" w:styleId="185">
    <w:name w:val="List Paragraph1"/>
    <w:basedOn w:val="1"/>
    <w:qFormat/>
    <w:uiPriority w:val="0"/>
    <w:pPr>
      <w:ind w:firstLine="420" w:firstLineChars="200"/>
    </w:pPr>
    <w:rPr>
      <w:rFonts w:ascii="Times New Roman" w:hAnsi="Times New Roman" w:eastAsia="宋体" w:cs="Times New Roman"/>
      <w:szCs w:val="24"/>
    </w:rPr>
  </w:style>
  <w:style w:type="paragraph" w:customStyle="1" w:styleId="186">
    <w:name w:val="Char Char Char Char1"/>
    <w:basedOn w:val="1"/>
    <w:qFormat/>
    <w:uiPriority w:val="99"/>
    <w:rPr>
      <w:rFonts w:ascii="Tahoma" w:hAnsi="Tahoma" w:eastAsia="宋体" w:cs="Times New Roman"/>
      <w:sz w:val="24"/>
      <w:szCs w:val="20"/>
    </w:rPr>
  </w:style>
  <w:style w:type="paragraph" w:customStyle="1" w:styleId="187">
    <w:name w:val="目录 711"/>
    <w:next w:val="1"/>
    <w:qFormat/>
    <w:uiPriority w:val="99"/>
    <w:pPr>
      <w:wordWrap w:val="0"/>
      <w:ind w:left="2550"/>
      <w:jc w:val="both"/>
    </w:pPr>
    <w:rPr>
      <w:rFonts w:ascii="Times New Roman" w:hAnsi="Times New Roman" w:eastAsia="宋体" w:cs="Times New Roman"/>
      <w:sz w:val="21"/>
      <w:szCs w:val="22"/>
      <w:lang w:val="en-US" w:eastAsia="zh-CN" w:bidi="ar-SA"/>
    </w:rPr>
  </w:style>
  <w:style w:type="character" w:customStyle="1" w:styleId="188">
    <w:name w:val="z-窗体顶端 Char"/>
    <w:link w:val="189"/>
    <w:qFormat/>
    <w:locked/>
    <w:uiPriority w:val="0"/>
    <w:rPr>
      <w:rFonts w:ascii="Arial" w:hAnsi="Arial" w:eastAsia="宋体" w:cs="Times New Roman"/>
      <w:vanish/>
      <w:kern w:val="0"/>
      <w:sz w:val="20"/>
      <w:szCs w:val="20"/>
    </w:rPr>
  </w:style>
  <w:style w:type="paragraph" w:customStyle="1" w:styleId="189">
    <w:name w:val="_Style 46"/>
    <w:basedOn w:val="1"/>
    <w:next w:val="1"/>
    <w:link w:val="188"/>
    <w:qFormat/>
    <w:uiPriority w:val="0"/>
    <w:pPr>
      <w:widowControl/>
      <w:pBdr>
        <w:bottom w:val="single" w:color="auto" w:sz="6" w:space="1"/>
      </w:pBdr>
      <w:jc w:val="center"/>
    </w:pPr>
    <w:rPr>
      <w:rFonts w:ascii="Arial" w:hAnsi="Arial" w:eastAsia="宋体" w:cs="Times New Roman"/>
      <w:vanish/>
      <w:kern w:val="0"/>
      <w:sz w:val="20"/>
      <w:szCs w:val="20"/>
    </w:rPr>
  </w:style>
  <w:style w:type="paragraph" w:customStyle="1" w:styleId="190">
    <w:name w:val="此正文"/>
    <w:basedOn w:val="1"/>
    <w:qFormat/>
    <w:uiPriority w:val="99"/>
    <w:pPr>
      <w:spacing w:line="360" w:lineRule="auto"/>
      <w:ind w:firstLine="200" w:firstLineChars="200"/>
    </w:pPr>
    <w:rPr>
      <w:rFonts w:ascii="Times New Roman" w:hAnsi="Times New Roman" w:eastAsia="宋体" w:cs="Times New Roman"/>
      <w:sz w:val="24"/>
      <w:szCs w:val="24"/>
    </w:rPr>
  </w:style>
  <w:style w:type="paragraph" w:customStyle="1" w:styleId="191">
    <w:name w:val="xl25"/>
    <w:basedOn w:val="1"/>
    <w:qFormat/>
    <w:uiPriority w:val="0"/>
    <w:pPr>
      <w:widowControl/>
      <w:spacing w:before="100" w:beforeAutospacing="1" w:after="100" w:afterAutospacing="1"/>
      <w:jc w:val="center"/>
    </w:pPr>
    <w:rPr>
      <w:rFonts w:ascii="楷体_GB2312" w:hAnsi="宋体" w:eastAsia="楷体_GB2312" w:cs="Times New Roman"/>
      <w:kern w:val="0"/>
      <w:sz w:val="24"/>
      <w:szCs w:val="24"/>
    </w:rPr>
  </w:style>
  <w:style w:type="paragraph" w:customStyle="1" w:styleId="192">
    <w:name w:val="彩色列表 - 强调文字颜色 11"/>
    <w:basedOn w:val="1"/>
    <w:link w:val="529"/>
    <w:qFormat/>
    <w:uiPriority w:val="0"/>
    <w:pPr>
      <w:ind w:firstLine="420" w:firstLineChars="200"/>
    </w:pPr>
    <w:rPr>
      <w:rFonts w:ascii="Calibri" w:hAnsi="Calibri" w:eastAsia="宋体" w:cs="Times New Roman"/>
    </w:rPr>
  </w:style>
  <w:style w:type="paragraph" w:customStyle="1" w:styleId="193">
    <w:name w:val="无间距"/>
    <w:qFormat/>
    <w:uiPriority w:val="99"/>
    <w:pPr>
      <w:widowControl w:val="0"/>
      <w:jc w:val="both"/>
    </w:pPr>
    <w:rPr>
      <w:rFonts w:ascii="Calibri" w:hAnsi="Calibri" w:eastAsia="宋体" w:cs="Times New Roman"/>
      <w:kern w:val="2"/>
      <w:sz w:val="21"/>
      <w:szCs w:val="22"/>
      <w:lang w:val="en-US" w:eastAsia="zh-CN" w:bidi="ar-SA"/>
    </w:rPr>
  </w:style>
  <w:style w:type="character" w:customStyle="1" w:styleId="194">
    <w:name w:val="z-窗体底端 Char"/>
    <w:link w:val="195"/>
    <w:qFormat/>
    <w:locked/>
    <w:uiPriority w:val="0"/>
    <w:rPr>
      <w:rFonts w:ascii="Arial" w:hAnsi="Arial" w:eastAsia="宋体" w:cs="Times New Roman"/>
      <w:vanish/>
      <w:kern w:val="0"/>
      <w:sz w:val="20"/>
      <w:szCs w:val="20"/>
    </w:rPr>
  </w:style>
  <w:style w:type="paragraph" w:customStyle="1" w:styleId="195">
    <w:name w:val="_Style 54"/>
    <w:basedOn w:val="1"/>
    <w:next w:val="1"/>
    <w:link w:val="194"/>
    <w:qFormat/>
    <w:uiPriority w:val="0"/>
    <w:pPr>
      <w:widowControl/>
      <w:pBdr>
        <w:top w:val="single" w:color="auto" w:sz="6" w:space="1"/>
      </w:pBdr>
      <w:jc w:val="center"/>
    </w:pPr>
    <w:rPr>
      <w:rFonts w:ascii="Arial" w:hAnsi="Arial" w:eastAsia="宋体" w:cs="Times New Roman"/>
      <w:vanish/>
      <w:kern w:val="0"/>
      <w:sz w:val="20"/>
      <w:szCs w:val="20"/>
    </w:rPr>
  </w:style>
  <w:style w:type="paragraph" w:customStyle="1" w:styleId="196">
    <w:name w:val="样式 标题 3 + (中文) 黑体 小四 非加粗 段前: 7.8 磅 段后: 0 磅 行距: 固定值 20 磅"/>
    <w:qFormat/>
    <w:uiPriority w:val="99"/>
    <w:pPr>
      <w:keepNext/>
      <w:keepLines/>
      <w:widowControl w:val="0"/>
      <w:spacing w:before="260" w:after="260" w:line="400" w:lineRule="exact"/>
      <w:jc w:val="both"/>
      <w:outlineLvl w:val="2"/>
    </w:pPr>
    <w:rPr>
      <w:rFonts w:ascii="Times New Roman" w:hAnsi="Times New Roman" w:eastAsia="黑体" w:cs="宋体"/>
      <w:kern w:val="2"/>
      <w:sz w:val="24"/>
      <w:lang w:val="en-US" w:eastAsia="zh-CN" w:bidi="ar-SA"/>
    </w:rPr>
  </w:style>
  <w:style w:type="paragraph" w:customStyle="1" w:styleId="197">
    <w:name w:val="样式 标题 2 + Times New Roman 四号 非加粗 段前: 5 磅 段后: 0 磅 行距: 固定值 20..."/>
    <w:qFormat/>
    <w:uiPriority w:val="99"/>
    <w:pPr>
      <w:keepNext/>
      <w:keepLines/>
      <w:widowControl w:val="0"/>
      <w:spacing w:before="100" w:after="260" w:line="400" w:lineRule="exact"/>
      <w:jc w:val="both"/>
      <w:outlineLvl w:val="1"/>
    </w:pPr>
    <w:rPr>
      <w:rFonts w:ascii="Times New Roman" w:hAnsi="Times New Roman" w:eastAsia="黑体" w:cs="宋体"/>
      <w:bCs/>
      <w:kern w:val="2"/>
      <w:sz w:val="28"/>
      <w:lang w:val="en-US" w:eastAsia="zh-CN" w:bidi="ar-SA"/>
    </w:rPr>
  </w:style>
  <w:style w:type="paragraph" w:customStyle="1" w:styleId="198">
    <w:name w:val="纯文本_0"/>
    <w:basedOn w:val="1"/>
    <w:qFormat/>
    <w:uiPriority w:val="99"/>
    <w:pPr>
      <w:spacing w:line="440" w:lineRule="exact"/>
      <w:ind w:firstLine="100" w:firstLineChars="100"/>
    </w:pPr>
    <w:rPr>
      <w:rFonts w:ascii="宋体" w:hAnsi="Courier New" w:eastAsia="宋体" w:cs="Times New Roman"/>
      <w:szCs w:val="21"/>
    </w:rPr>
  </w:style>
  <w:style w:type="paragraph" w:customStyle="1" w:styleId="199">
    <w:name w:val="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200">
    <w:name w:val="font5"/>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1">
    <w:name w:val="font6"/>
    <w:basedOn w:val="1"/>
    <w:qFormat/>
    <w:uiPriority w:val="0"/>
    <w:pPr>
      <w:widowControl/>
      <w:spacing w:before="100" w:beforeAutospacing="1" w:after="100" w:afterAutospacing="1"/>
      <w:jc w:val="left"/>
    </w:pPr>
    <w:rPr>
      <w:rFonts w:ascii="宋体" w:hAnsi="宋体" w:eastAsia="宋体" w:cs="宋体"/>
      <w:color w:val="FF0000"/>
      <w:kern w:val="0"/>
      <w:sz w:val="20"/>
      <w:szCs w:val="20"/>
    </w:rPr>
  </w:style>
  <w:style w:type="paragraph" w:customStyle="1" w:styleId="202">
    <w:name w:val="font7"/>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0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04">
    <w:name w:val="xl10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05">
    <w:name w:val="xl107"/>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6">
    <w:name w:val="xl10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7">
    <w:name w:val="xl109"/>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208">
    <w:name w:val="xl1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09">
    <w:name w:val="xl111"/>
    <w:basedOn w:val="1"/>
    <w:qFormat/>
    <w:uiPriority w:val="99"/>
    <w:pPr>
      <w:widowControl/>
      <w:spacing w:before="100" w:beforeAutospacing="1" w:after="100" w:afterAutospacing="1"/>
      <w:jc w:val="center"/>
    </w:pPr>
    <w:rPr>
      <w:rFonts w:ascii="宋体" w:hAnsi="宋体" w:eastAsia="宋体" w:cs="宋体"/>
      <w:color w:val="000000"/>
      <w:kern w:val="0"/>
      <w:sz w:val="20"/>
      <w:szCs w:val="20"/>
    </w:rPr>
  </w:style>
  <w:style w:type="paragraph" w:customStyle="1" w:styleId="210">
    <w:name w:val="xl112"/>
    <w:basedOn w:val="1"/>
    <w:qFormat/>
    <w:uiPriority w:val="99"/>
    <w:pPr>
      <w:widowControl/>
      <w:spacing w:before="100" w:beforeAutospacing="1" w:after="100" w:afterAutospacing="1"/>
      <w:jc w:val="left"/>
    </w:pPr>
    <w:rPr>
      <w:rFonts w:ascii="宋体" w:hAnsi="宋体" w:eastAsia="宋体" w:cs="宋体"/>
      <w:kern w:val="0"/>
      <w:sz w:val="20"/>
      <w:szCs w:val="20"/>
    </w:rPr>
  </w:style>
  <w:style w:type="paragraph" w:customStyle="1" w:styleId="211">
    <w:name w:val="xl113"/>
    <w:basedOn w:val="1"/>
    <w:qFormat/>
    <w:uiPriority w:val="99"/>
    <w:pPr>
      <w:widowControl/>
      <w:spacing w:before="100" w:beforeAutospacing="1" w:after="100" w:afterAutospacing="1"/>
      <w:jc w:val="center"/>
    </w:pPr>
    <w:rPr>
      <w:rFonts w:ascii="宋体" w:hAnsi="宋体" w:eastAsia="宋体" w:cs="宋体"/>
      <w:color w:val="000000"/>
      <w:kern w:val="0"/>
      <w:sz w:val="20"/>
      <w:szCs w:val="20"/>
    </w:rPr>
  </w:style>
  <w:style w:type="paragraph" w:customStyle="1" w:styleId="212">
    <w:name w:val="xl114"/>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13">
    <w:name w:val="xl115"/>
    <w:basedOn w:val="1"/>
    <w:qFormat/>
    <w:uiPriority w:val="99"/>
    <w:pPr>
      <w:widowControl/>
      <w:shd w:val="clear" w:color="auto" w:fill="FFFFFF"/>
      <w:spacing w:before="100" w:beforeAutospacing="1" w:after="100" w:afterAutospacing="1"/>
      <w:jc w:val="center"/>
    </w:pPr>
    <w:rPr>
      <w:rFonts w:ascii="宋体" w:hAnsi="宋体" w:eastAsia="宋体" w:cs="宋体"/>
      <w:b/>
      <w:bCs/>
      <w:color w:val="000000"/>
      <w:kern w:val="0"/>
      <w:sz w:val="32"/>
      <w:szCs w:val="32"/>
    </w:rPr>
  </w:style>
  <w:style w:type="paragraph" w:customStyle="1" w:styleId="214">
    <w:name w:val="xl116"/>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paragraph" w:customStyle="1" w:styleId="215">
    <w:name w:val="xl117"/>
    <w:basedOn w:val="1"/>
    <w:qFormat/>
    <w:uiPriority w:val="99"/>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color w:val="000000"/>
      <w:kern w:val="0"/>
      <w:sz w:val="20"/>
      <w:szCs w:val="20"/>
    </w:rPr>
  </w:style>
  <w:style w:type="paragraph" w:customStyle="1" w:styleId="216">
    <w:name w:val="xl118"/>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color w:val="000000"/>
      <w:kern w:val="0"/>
      <w:sz w:val="20"/>
      <w:szCs w:val="20"/>
    </w:rPr>
  </w:style>
  <w:style w:type="paragraph" w:customStyle="1" w:styleId="217">
    <w:name w:val="xl119"/>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paragraph" w:customStyle="1" w:styleId="218">
    <w:name w:val="xl120"/>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color w:val="000000"/>
      <w:kern w:val="0"/>
      <w:sz w:val="20"/>
      <w:szCs w:val="20"/>
    </w:rPr>
  </w:style>
  <w:style w:type="paragraph" w:customStyle="1" w:styleId="219">
    <w:name w:val="xl121"/>
    <w:basedOn w:val="1"/>
    <w:qFormat/>
    <w:uiPriority w:val="99"/>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20">
    <w:name w:val="xl122"/>
    <w:basedOn w:val="1"/>
    <w:qFormat/>
    <w:uiPriority w:val="99"/>
    <w:pPr>
      <w:widowControl/>
      <w:pBdr>
        <w:top w:val="single" w:color="auto" w:sz="4" w:space="0"/>
        <w:bottom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paragraph" w:customStyle="1" w:styleId="221">
    <w:name w:val="xl123"/>
    <w:basedOn w:val="1"/>
    <w:qFormat/>
    <w:uiPriority w:val="99"/>
    <w:pPr>
      <w:widowControl/>
      <w:pBdr>
        <w:top w:val="single" w:color="auto" w:sz="4" w:space="0"/>
        <w:bottom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22">
    <w:name w:val="xl124"/>
    <w:basedOn w:val="1"/>
    <w:qFormat/>
    <w:uiPriority w:val="99"/>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paragraph" w:customStyle="1" w:styleId="223">
    <w:name w:val="xl125"/>
    <w:basedOn w:val="1"/>
    <w:qFormat/>
    <w:uiPriority w:val="99"/>
    <w:pPr>
      <w:widowControl/>
      <w:pBdr>
        <w:top w:val="single" w:color="auto" w:sz="4" w:space="0"/>
        <w:left w:val="single" w:color="auto" w:sz="4" w:space="0"/>
        <w:bottom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24">
    <w:name w:val="xl126"/>
    <w:basedOn w:val="1"/>
    <w:qFormat/>
    <w:uiPriority w:val="99"/>
    <w:pPr>
      <w:widowControl/>
      <w:pBdr>
        <w:top w:val="single" w:color="auto" w:sz="4" w:space="0"/>
        <w:bottom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25">
    <w:name w:val="xl127"/>
    <w:basedOn w:val="1"/>
    <w:qFormat/>
    <w:uiPriority w:val="99"/>
    <w:pPr>
      <w:widowControl/>
      <w:pBdr>
        <w:top w:val="single" w:color="auto" w:sz="4" w:space="0"/>
        <w:bottom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26">
    <w:name w:val="xl128"/>
    <w:basedOn w:val="1"/>
    <w:qFormat/>
    <w:uiPriority w:val="99"/>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27">
    <w:name w:val="xl129"/>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28">
    <w:name w:val="xl130"/>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229">
    <w:name w:val="xl131"/>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30">
    <w:name w:val="xl1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color w:val="000000"/>
      <w:kern w:val="0"/>
      <w:sz w:val="20"/>
      <w:szCs w:val="20"/>
    </w:rPr>
  </w:style>
  <w:style w:type="paragraph" w:customStyle="1" w:styleId="231">
    <w:name w:val="xl133"/>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32">
    <w:name w:val="xl134"/>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33">
    <w:name w:val="xl1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34">
    <w:name w:val="xl136"/>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35">
    <w:name w:val="xl137"/>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color w:val="000000"/>
      <w:kern w:val="0"/>
      <w:sz w:val="20"/>
      <w:szCs w:val="20"/>
    </w:rPr>
  </w:style>
  <w:style w:type="paragraph" w:customStyle="1" w:styleId="236">
    <w:name w:val="xl138"/>
    <w:basedOn w:val="1"/>
    <w:qFormat/>
    <w:uiPriority w:val="0"/>
    <w:pPr>
      <w:widowControl/>
      <w:pBdr>
        <w:left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37">
    <w:name w:val="xl139"/>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38">
    <w:name w:val="xl140"/>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39">
    <w:name w:val="xl141"/>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40">
    <w:name w:val="xl142"/>
    <w:basedOn w:val="1"/>
    <w:qFormat/>
    <w:uiPriority w:val="99"/>
    <w:pPr>
      <w:widowControl/>
      <w:pBdr>
        <w:top w:val="single" w:color="auto" w:sz="4" w:space="0"/>
        <w:left w:val="single" w:color="auto" w:sz="4" w:space="0"/>
        <w:bottom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41">
    <w:name w:val="xl143"/>
    <w:basedOn w:val="1"/>
    <w:qFormat/>
    <w:uiPriority w:val="99"/>
    <w:pPr>
      <w:widowControl/>
      <w:pBdr>
        <w:top w:val="single" w:color="auto" w:sz="4" w:space="0"/>
        <w:bottom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42">
    <w:name w:val="xl144"/>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43">
    <w:name w:val="xl145"/>
    <w:basedOn w:val="1"/>
    <w:qFormat/>
    <w:uiPriority w:val="99"/>
    <w:pPr>
      <w:widowControl/>
      <w:pBdr>
        <w:top w:val="single" w:color="auto" w:sz="4" w:space="0"/>
        <w:bottom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44">
    <w:name w:val="xl146"/>
    <w:basedOn w:val="1"/>
    <w:qFormat/>
    <w:uiPriority w:val="99"/>
    <w:pPr>
      <w:widowControl/>
      <w:pBdr>
        <w:top w:val="single" w:color="auto" w:sz="4" w:space="0"/>
        <w:bottom w:val="single" w:color="auto" w:sz="4" w:space="0"/>
      </w:pBdr>
      <w:shd w:val="clear" w:color="auto" w:fill="FFFFFF"/>
      <w:spacing w:before="100" w:beforeAutospacing="1" w:after="100" w:afterAutospacing="1"/>
      <w:jc w:val="center"/>
    </w:pPr>
    <w:rPr>
      <w:rFonts w:ascii="宋体" w:hAnsi="宋体" w:eastAsia="宋体" w:cs="宋体"/>
      <w:color w:val="000000"/>
      <w:kern w:val="0"/>
      <w:sz w:val="20"/>
      <w:szCs w:val="20"/>
    </w:rPr>
  </w:style>
  <w:style w:type="paragraph" w:customStyle="1" w:styleId="245">
    <w:name w:val="xl147"/>
    <w:basedOn w:val="1"/>
    <w:qFormat/>
    <w:uiPriority w:val="99"/>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color w:val="000000"/>
      <w:kern w:val="0"/>
      <w:sz w:val="20"/>
      <w:szCs w:val="20"/>
    </w:rPr>
  </w:style>
  <w:style w:type="paragraph" w:customStyle="1" w:styleId="246">
    <w:name w:val="xl148"/>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47">
    <w:name w:val="xl149"/>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48">
    <w:name w:val="xl150"/>
    <w:basedOn w:val="1"/>
    <w:qFormat/>
    <w:uiPriority w:val="99"/>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249">
    <w:name w:val="xl151"/>
    <w:basedOn w:val="1"/>
    <w:qFormat/>
    <w:uiPriority w:val="99"/>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50">
    <w:name w:val="xl152"/>
    <w:basedOn w:val="1"/>
    <w:qFormat/>
    <w:uiPriority w:val="99"/>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FF0000"/>
      <w:kern w:val="0"/>
      <w:sz w:val="20"/>
      <w:szCs w:val="20"/>
    </w:rPr>
  </w:style>
  <w:style w:type="paragraph" w:customStyle="1" w:styleId="251">
    <w:name w:val="xl153"/>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252">
    <w:name w:val="xl154"/>
    <w:basedOn w:val="1"/>
    <w:qFormat/>
    <w:uiPriority w:val="99"/>
    <w:pPr>
      <w:widowControl/>
      <w:pBdr>
        <w:top w:val="single" w:color="auto" w:sz="4" w:space="0"/>
        <w:left w:val="single" w:color="auto" w:sz="4" w:space="0"/>
        <w:bottom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paragraph" w:customStyle="1" w:styleId="253">
    <w:name w:val="xl155"/>
    <w:basedOn w:val="1"/>
    <w:qFormat/>
    <w:uiPriority w:val="99"/>
    <w:pPr>
      <w:widowControl/>
      <w:pBdr>
        <w:top w:val="single" w:color="auto" w:sz="4" w:space="0"/>
        <w:bottom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paragraph" w:customStyle="1" w:styleId="254">
    <w:name w:val="xl156"/>
    <w:basedOn w:val="1"/>
    <w:qFormat/>
    <w:uiPriority w:val="99"/>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paragraph" w:customStyle="1" w:styleId="255">
    <w:name w:val="xl157"/>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b/>
      <w:bCs/>
      <w:kern w:val="0"/>
      <w:sz w:val="20"/>
      <w:szCs w:val="20"/>
    </w:rPr>
  </w:style>
  <w:style w:type="character" w:customStyle="1" w:styleId="256">
    <w:name w:val="列表段落 字符"/>
    <w:link w:val="257"/>
    <w:qFormat/>
    <w:locked/>
    <w:uiPriority w:val="34"/>
    <w:rPr>
      <w:rFonts w:ascii="宋体" w:hAnsi="宋体" w:eastAsia="宋体" w:cs="宋体"/>
      <w:kern w:val="0"/>
      <w:sz w:val="24"/>
      <w:szCs w:val="24"/>
    </w:rPr>
  </w:style>
  <w:style w:type="paragraph" w:customStyle="1" w:styleId="257">
    <w:name w:val="列表段落1"/>
    <w:basedOn w:val="1"/>
    <w:next w:val="114"/>
    <w:link w:val="256"/>
    <w:qFormat/>
    <w:uiPriority w:val="34"/>
    <w:pPr>
      <w:widowControl/>
      <w:ind w:firstLine="420" w:firstLineChars="200"/>
      <w:jc w:val="left"/>
    </w:pPr>
    <w:rPr>
      <w:rFonts w:ascii="宋体" w:hAnsi="宋体" w:eastAsia="宋体" w:cs="宋体"/>
      <w:kern w:val="0"/>
      <w:sz w:val="24"/>
      <w:szCs w:val="24"/>
    </w:rPr>
  </w:style>
  <w:style w:type="paragraph" w:customStyle="1" w:styleId="258">
    <w:name w:val="项目1"/>
    <w:basedOn w:val="1"/>
    <w:qFormat/>
    <w:uiPriority w:val="99"/>
    <w:pPr>
      <w:widowControl/>
      <w:tabs>
        <w:tab w:val="left" w:pos="720"/>
      </w:tabs>
      <w:autoSpaceDE w:val="0"/>
      <w:autoSpaceDN w:val="0"/>
      <w:adjustRightInd w:val="0"/>
      <w:spacing w:before="120" w:after="120" w:line="300" w:lineRule="auto"/>
      <w:ind w:left="720" w:hanging="720"/>
      <w:jc w:val="left"/>
    </w:pPr>
    <w:rPr>
      <w:rFonts w:ascii="Times New Roman" w:hAnsi="Times New Roman" w:eastAsia="楷体_GB2312" w:cs="Times New Roman"/>
      <w:kern w:val="0"/>
      <w:sz w:val="24"/>
      <w:szCs w:val="24"/>
    </w:rPr>
  </w:style>
  <w:style w:type="paragraph" w:customStyle="1" w:styleId="259">
    <w:name w:val="图片居中"/>
    <w:basedOn w:val="1"/>
    <w:qFormat/>
    <w:uiPriority w:val="99"/>
    <w:pPr>
      <w:keepNext/>
      <w:jc w:val="center"/>
    </w:pPr>
    <w:rPr>
      <w:rFonts w:ascii="Times New Roman" w:hAnsi="Times New Roman" w:eastAsia="宋体" w:cs="Times New Roman"/>
    </w:rPr>
  </w:style>
  <w:style w:type="paragraph" w:customStyle="1" w:styleId="260">
    <w:name w:val="表格(五号)"/>
    <w:qFormat/>
    <w:uiPriority w:val="99"/>
    <w:pPr>
      <w:adjustRightInd w:val="0"/>
      <w:snapToGrid w:val="0"/>
      <w:jc w:val="both"/>
    </w:pPr>
    <w:rPr>
      <w:rFonts w:ascii="Times New Roman" w:hAnsi="Times New Roman" w:eastAsia="宋体" w:cs="Times New Roman"/>
      <w:sz w:val="21"/>
      <w:lang w:val="en-US" w:eastAsia="zh-CN" w:bidi="ar-SA"/>
    </w:rPr>
  </w:style>
  <w:style w:type="paragraph" w:customStyle="1" w:styleId="261">
    <w:name w:val="图片题注"/>
    <w:basedOn w:val="19"/>
    <w:qFormat/>
    <w:uiPriority w:val="99"/>
  </w:style>
  <w:style w:type="paragraph" w:customStyle="1" w:styleId="262">
    <w:name w:val="表格正文"/>
    <w:basedOn w:val="1"/>
    <w:qFormat/>
    <w:uiPriority w:val="99"/>
    <w:pPr>
      <w:widowControl/>
      <w:jc w:val="left"/>
    </w:pPr>
    <w:rPr>
      <w:rFonts w:ascii="宋体" w:hAnsi="宋体" w:eastAsia="宋体" w:cs="宋体"/>
      <w:szCs w:val="28"/>
    </w:rPr>
  </w:style>
  <w:style w:type="paragraph" w:customStyle="1" w:styleId="263">
    <w:name w:val="修订1"/>
    <w:qFormat/>
    <w:uiPriority w:val="99"/>
    <w:rPr>
      <w:rFonts w:ascii="Times New Roman" w:hAnsi="Times New Roman" w:eastAsia="宋体" w:cs="Times New Roman"/>
      <w:kern w:val="2"/>
      <w:sz w:val="21"/>
      <w:szCs w:val="22"/>
      <w:lang w:val="en-US" w:eastAsia="zh-CN" w:bidi="ar-SA"/>
    </w:rPr>
  </w:style>
  <w:style w:type="paragraph" w:customStyle="1" w:styleId="264">
    <w:name w:val="修订2"/>
    <w:qFormat/>
    <w:uiPriority w:val="99"/>
    <w:rPr>
      <w:rFonts w:ascii="Times New Roman" w:hAnsi="Times New Roman" w:eastAsia="宋体" w:cs="Times New Roman"/>
      <w:kern w:val="2"/>
      <w:sz w:val="21"/>
      <w:szCs w:val="22"/>
      <w:lang w:val="en-US" w:eastAsia="zh-CN" w:bidi="ar-SA"/>
    </w:rPr>
  </w:style>
  <w:style w:type="paragraph" w:customStyle="1" w:styleId="265">
    <w:name w:val="修订3"/>
    <w:semiHidden/>
    <w:qFormat/>
    <w:uiPriority w:val="99"/>
    <w:rPr>
      <w:rFonts w:ascii="Times New Roman" w:hAnsi="Times New Roman" w:eastAsia="宋体" w:cs="Times New Roman"/>
      <w:kern w:val="2"/>
      <w:sz w:val="21"/>
      <w:szCs w:val="22"/>
      <w:lang w:val="en-US" w:eastAsia="zh-CN" w:bidi="ar-SA"/>
    </w:rPr>
  </w:style>
  <w:style w:type="paragraph" w:customStyle="1" w:styleId="266">
    <w:name w:val="xl6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18"/>
      <w:szCs w:val="18"/>
    </w:rPr>
  </w:style>
  <w:style w:type="paragraph" w:customStyle="1" w:styleId="267">
    <w:name w:val="xl68"/>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68">
    <w:name w:val="xl6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18"/>
      <w:szCs w:val="18"/>
    </w:rPr>
  </w:style>
  <w:style w:type="paragraph" w:customStyle="1" w:styleId="26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18"/>
      <w:szCs w:val="18"/>
    </w:rPr>
  </w:style>
  <w:style w:type="paragraph" w:customStyle="1" w:styleId="270">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18"/>
      <w:szCs w:val="18"/>
    </w:rPr>
  </w:style>
  <w:style w:type="paragraph" w:customStyle="1" w:styleId="27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7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27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75">
    <w:name w:val="xl7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76">
    <w:name w:val="xl7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77">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278">
    <w:name w:val="xl7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79">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280">
    <w:name w:val="xl8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281">
    <w:name w:val="xl82"/>
    <w:basedOn w:val="1"/>
    <w:qFormat/>
    <w:uiPriority w:val="0"/>
    <w:pPr>
      <w:widowControl/>
      <w:pBdr>
        <w:top w:val="single" w:color="auto" w:sz="4" w:space="0"/>
        <w:lef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282">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83">
    <w:name w:val="xl8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284">
    <w:name w:val="xl85"/>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285">
    <w:name w:val="xl86"/>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86">
    <w:name w:val="xl87"/>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87">
    <w:name w:val="xl88"/>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8">
    <w:name w:val="xl89"/>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89">
    <w:name w:val="xl90"/>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90">
    <w:name w:val="xl91"/>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91">
    <w:name w:val="xl92"/>
    <w:basedOn w:val="1"/>
    <w:qFormat/>
    <w:uiPriority w:val="0"/>
    <w:pPr>
      <w:widowControl/>
      <w:pBdr>
        <w:lef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92">
    <w:name w:val="xl93"/>
    <w:basedOn w:val="1"/>
    <w:qFormat/>
    <w:uiPriority w:val="0"/>
    <w:pPr>
      <w:widowControl/>
      <w:pBdr>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93">
    <w:name w:val="xl94"/>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94">
    <w:name w:val="xl9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95">
    <w:name w:val="xl9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296">
    <w:name w:val="xl9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97">
    <w:name w:val="xl98"/>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98">
    <w:name w:val="xl9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18"/>
      <w:szCs w:val="18"/>
    </w:rPr>
  </w:style>
  <w:style w:type="paragraph" w:customStyle="1" w:styleId="299">
    <w:name w:val="xl100"/>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b/>
      <w:bCs/>
      <w:kern w:val="0"/>
      <w:sz w:val="18"/>
      <w:szCs w:val="18"/>
    </w:rPr>
  </w:style>
  <w:style w:type="paragraph" w:customStyle="1" w:styleId="300">
    <w:name w:val="xl101"/>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eastAsia="宋体" w:cs="宋体"/>
      <w:b/>
      <w:bCs/>
      <w:kern w:val="0"/>
      <w:sz w:val="18"/>
      <w:szCs w:val="18"/>
    </w:rPr>
  </w:style>
  <w:style w:type="paragraph" w:customStyle="1" w:styleId="301">
    <w:name w:val="xl10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18"/>
      <w:szCs w:val="18"/>
    </w:rPr>
  </w:style>
  <w:style w:type="paragraph" w:customStyle="1" w:styleId="302">
    <w:name w:val="xl10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303">
    <w:name w:val="xl10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304">
    <w:name w:val="xl10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305">
    <w:name w:val="xl6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18"/>
      <w:szCs w:val="18"/>
    </w:rPr>
  </w:style>
  <w:style w:type="paragraph" w:customStyle="1" w:styleId="306">
    <w:name w:val="xl6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07">
    <w:name w:val="修订4"/>
    <w:qFormat/>
    <w:uiPriority w:val="99"/>
    <w:rPr>
      <w:rFonts w:ascii="Times New Roman" w:hAnsi="Times New Roman" w:eastAsia="宋体" w:cs="Times New Roman"/>
      <w:kern w:val="2"/>
      <w:sz w:val="21"/>
      <w:szCs w:val="22"/>
      <w:lang w:val="en-US" w:eastAsia="zh-CN" w:bidi="ar-SA"/>
    </w:rPr>
  </w:style>
  <w:style w:type="character" w:customStyle="1" w:styleId="308">
    <w:name w:val="font21"/>
    <w:basedOn w:val="70"/>
    <w:qFormat/>
    <w:uiPriority w:val="0"/>
    <w:rPr>
      <w:rFonts w:hint="eastAsia" w:ascii="等线" w:hAnsi="等线" w:eastAsia="等线" w:cs="等线"/>
      <w:color w:val="000000"/>
      <w:sz w:val="22"/>
      <w:szCs w:val="22"/>
      <w:u w:val="none"/>
    </w:rPr>
  </w:style>
  <w:style w:type="character" w:customStyle="1" w:styleId="309">
    <w:name w:val="apple-converted-space"/>
    <w:qFormat/>
    <w:uiPriority w:val="0"/>
    <w:rPr>
      <w:rFonts w:hint="default" w:ascii="Times New Roman" w:hAnsi="Times New Roman" w:cs="Times New Roman"/>
    </w:rPr>
  </w:style>
  <w:style w:type="character" w:customStyle="1" w:styleId="310">
    <w:name w:val="正文文本缩进 3 Char1"/>
    <w:basedOn w:val="70"/>
    <w:qFormat/>
    <w:uiPriority w:val="0"/>
    <w:rPr>
      <w:rFonts w:hint="default" w:ascii="Times New Roman" w:hAnsi="Times New Roman" w:eastAsia="宋体" w:cs="Times New Roman"/>
      <w:sz w:val="16"/>
      <w:szCs w:val="16"/>
    </w:rPr>
  </w:style>
  <w:style w:type="character" w:customStyle="1" w:styleId="311">
    <w:name w:val="批注文字 Char1"/>
    <w:basedOn w:val="70"/>
    <w:qFormat/>
    <w:uiPriority w:val="0"/>
    <w:rPr>
      <w:rFonts w:hint="default" w:ascii="Times New Roman" w:hAnsi="Times New Roman" w:eastAsia="宋体" w:cs="Times New Roman"/>
    </w:rPr>
  </w:style>
  <w:style w:type="character" w:customStyle="1" w:styleId="312">
    <w:name w:val="apple-tab-span"/>
    <w:qFormat/>
    <w:uiPriority w:val="0"/>
    <w:rPr>
      <w:rFonts w:hint="default" w:ascii="Times New Roman" w:hAnsi="Times New Roman" w:cs="Times New Roman"/>
    </w:rPr>
  </w:style>
  <w:style w:type="character" w:customStyle="1" w:styleId="313">
    <w:name w:val="font11"/>
    <w:basedOn w:val="70"/>
    <w:qFormat/>
    <w:uiPriority w:val="0"/>
    <w:rPr>
      <w:rFonts w:hint="default" w:ascii="Times New Roman" w:hAnsi="Times New Roman" w:cs="Times New Roman"/>
      <w:color w:val="000000"/>
      <w:sz w:val="20"/>
      <w:szCs w:val="20"/>
      <w:u w:val="none"/>
    </w:rPr>
  </w:style>
  <w:style w:type="character" w:customStyle="1" w:styleId="314">
    <w:name w:val="font31"/>
    <w:basedOn w:val="70"/>
    <w:qFormat/>
    <w:uiPriority w:val="0"/>
    <w:rPr>
      <w:rFonts w:hint="eastAsia" w:ascii="等线" w:hAnsi="等线" w:eastAsia="等线" w:cs="等线"/>
      <w:color w:val="000000"/>
      <w:sz w:val="22"/>
      <w:szCs w:val="22"/>
      <w:u w:val="none"/>
    </w:rPr>
  </w:style>
  <w:style w:type="character" w:customStyle="1" w:styleId="315">
    <w:name w:val="正文文本缩进 Char1"/>
    <w:basedOn w:val="70"/>
    <w:qFormat/>
    <w:uiPriority w:val="0"/>
    <w:rPr>
      <w:rFonts w:hint="default" w:ascii="Times New Roman" w:hAnsi="Times New Roman" w:eastAsia="宋体" w:cs="Times New Roman"/>
    </w:rPr>
  </w:style>
  <w:style w:type="character" w:customStyle="1" w:styleId="316">
    <w:name w:val="正文文本 3 Char1"/>
    <w:basedOn w:val="70"/>
    <w:qFormat/>
    <w:uiPriority w:val="0"/>
    <w:rPr>
      <w:rFonts w:hint="default" w:ascii="Times New Roman" w:hAnsi="Times New Roman" w:eastAsia="宋体" w:cs="Times New Roman"/>
      <w:sz w:val="16"/>
      <w:szCs w:val="16"/>
    </w:rPr>
  </w:style>
  <w:style w:type="character" w:customStyle="1" w:styleId="317">
    <w:name w:val="正文文本 Char1"/>
    <w:basedOn w:val="70"/>
    <w:qFormat/>
    <w:uiPriority w:val="0"/>
    <w:rPr>
      <w:rFonts w:hint="default" w:ascii="Times New Roman" w:hAnsi="Times New Roman" w:eastAsia="宋体" w:cs="Times New Roman"/>
    </w:rPr>
  </w:style>
  <w:style w:type="character" w:customStyle="1" w:styleId="318">
    <w:name w:val="font01"/>
    <w:basedOn w:val="70"/>
    <w:qFormat/>
    <w:uiPriority w:val="0"/>
    <w:rPr>
      <w:rFonts w:hint="eastAsia" w:ascii="宋体" w:hAnsi="宋体" w:eastAsia="宋体" w:cs="宋体"/>
      <w:color w:val="000000"/>
      <w:sz w:val="20"/>
      <w:szCs w:val="20"/>
      <w:u w:val="none"/>
    </w:rPr>
  </w:style>
  <w:style w:type="character" w:customStyle="1" w:styleId="319">
    <w:name w:val="纯文本 Char2"/>
    <w:basedOn w:val="70"/>
    <w:qFormat/>
    <w:uiPriority w:val="0"/>
    <w:rPr>
      <w:rFonts w:hint="eastAsia" w:ascii="宋体" w:hAnsi="Courier New" w:eastAsia="宋体" w:cs="Courier New"/>
      <w:sz w:val="21"/>
      <w:szCs w:val="21"/>
    </w:rPr>
  </w:style>
  <w:style w:type="character" w:customStyle="1" w:styleId="320">
    <w:name w:val="文档结构图 Char1"/>
    <w:basedOn w:val="70"/>
    <w:qFormat/>
    <w:uiPriority w:val="0"/>
    <w:rPr>
      <w:rFonts w:hint="eastAsia" w:ascii="宋体" w:hAnsi="Times New Roman" w:eastAsia="宋体" w:cs="Times New Roman"/>
      <w:sz w:val="18"/>
      <w:szCs w:val="18"/>
    </w:rPr>
  </w:style>
  <w:style w:type="character" w:customStyle="1" w:styleId="321">
    <w:name w:val="纯文本 Char1"/>
    <w:qFormat/>
    <w:uiPriority w:val="0"/>
    <w:rPr>
      <w:rFonts w:hint="eastAsia" w:ascii="宋体" w:hAnsi="Courier New" w:eastAsia="宋体"/>
      <w:sz w:val="21"/>
    </w:rPr>
  </w:style>
  <w:style w:type="character" w:customStyle="1" w:styleId="322">
    <w:name w:val="日期 Char1"/>
    <w:basedOn w:val="70"/>
    <w:qFormat/>
    <w:uiPriority w:val="0"/>
    <w:rPr>
      <w:rFonts w:hint="default" w:ascii="Times New Roman" w:hAnsi="Times New Roman" w:eastAsia="宋体" w:cs="Times New Roman"/>
    </w:rPr>
  </w:style>
  <w:style w:type="character" w:customStyle="1" w:styleId="323">
    <w:name w:val="正文文本缩进 2 Char1"/>
    <w:basedOn w:val="70"/>
    <w:qFormat/>
    <w:uiPriority w:val="0"/>
    <w:rPr>
      <w:rFonts w:hint="default" w:ascii="Times New Roman" w:hAnsi="Times New Roman" w:eastAsia="宋体" w:cs="Times New Roman"/>
    </w:rPr>
  </w:style>
  <w:style w:type="character" w:customStyle="1" w:styleId="324">
    <w:name w:val="批注框文本 Char1"/>
    <w:basedOn w:val="70"/>
    <w:qFormat/>
    <w:uiPriority w:val="0"/>
    <w:rPr>
      <w:rFonts w:hint="default" w:ascii="Times New Roman" w:hAnsi="Times New Roman" w:eastAsia="宋体" w:cs="Times New Roman"/>
      <w:sz w:val="18"/>
      <w:szCs w:val="18"/>
    </w:rPr>
  </w:style>
  <w:style w:type="character" w:customStyle="1" w:styleId="325">
    <w:name w:val="正文文本 2 Char1"/>
    <w:basedOn w:val="70"/>
    <w:qFormat/>
    <w:uiPriority w:val="0"/>
    <w:rPr>
      <w:rFonts w:hint="default" w:ascii="Times New Roman" w:hAnsi="Times New Roman" w:eastAsia="宋体" w:cs="Times New Roman"/>
    </w:rPr>
  </w:style>
  <w:style w:type="character" w:customStyle="1" w:styleId="326">
    <w:name w:val="大黑10.5px"/>
    <w:qFormat/>
    <w:uiPriority w:val="0"/>
    <w:rPr>
      <w:rFonts w:hint="eastAsia" w:ascii="方正大黑简体" w:eastAsia="方正大黑简体"/>
      <w:sz w:val="21"/>
    </w:rPr>
  </w:style>
  <w:style w:type="character" w:customStyle="1" w:styleId="327">
    <w:name w:val="黑简10.5px"/>
    <w:qFormat/>
    <w:uiPriority w:val="0"/>
    <w:rPr>
      <w:rFonts w:hint="eastAsia" w:ascii="方正黑体简体" w:hAnsi="方正黑体简体" w:eastAsia="方正黑体简体"/>
      <w:sz w:val="21"/>
    </w:rPr>
  </w:style>
  <w:style w:type="character" w:customStyle="1" w:styleId="328">
    <w:name w:val="jbox-icon-warning"/>
    <w:basedOn w:val="70"/>
    <w:qFormat/>
    <w:uiPriority w:val="0"/>
    <w:rPr>
      <w:rFonts w:hint="default" w:ascii="Times New Roman" w:hAnsi="Times New Roman" w:cs="Times New Roman"/>
    </w:rPr>
  </w:style>
  <w:style w:type="character" w:customStyle="1" w:styleId="329">
    <w:name w:val="hover9"/>
    <w:qFormat/>
    <w:uiPriority w:val="0"/>
    <w:rPr>
      <w:shd w:val="clear" w:color="auto" w:fill="EEEEEE"/>
    </w:rPr>
  </w:style>
  <w:style w:type="character" w:customStyle="1" w:styleId="330">
    <w:name w:val="hour_pm"/>
    <w:basedOn w:val="70"/>
    <w:qFormat/>
    <w:uiPriority w:val="0"/>
    <w:rPr>
      <w:rFonts w:hint="default" w:ascii="Times New Roman" w:hAnsi="Times New Roman" w:cs="Times New Roman"/>
    </w:rPr>
  </w:style>
  <w:style w:type="character" w:customStyle="1" w:styleId="331">
    <w:name w:val="jbox-icon-info"/>
    <w:basedOn w:val="70"/>
    <w:qFormat/>
    <w:uiPriority w:val="0"/>
    <w:rPr>
      <w:rFonts w:hint="default" w:ascii="Times New Roman" w:hAnsi="Times New Roman" w:cs="Times New Roman"/>
    </w:rPr>
  </w:style>
  <w:style w:type="character" w:customStyle="1" w:styleId="332">
    <w:name w:val="black601"/>
    <w:qFormat/>
    <w:uiPriority w:val="0"/>
    <w:rPr>
      <w:color w:val="666666"/>
    </w:rPr>
  </w:style>
  <w:style w:type="character" w:customStyle="1" w:styleId="333">
    <w:name w:val="hour_am"/>
    <w:basedOn w:val="70"/>
    <w:qFormat/>
    <w:uiPriority w:val="0"/>
    <w:rPr>
      <w:rFonts w:hint="default" w:ascii="Times New Roman" w:hAnsi="Times New Roman" w:cs="Times New Roman"/>
    </w:rPr>
  </w:style>
  <w:style w:type="character" w:customStyle="1" w:styleId="334">
    <w:name w:val="jbox-icon-error"/>
    <w:basedOn w:val="70"/>
    <w:qFormat/>
    <w:uiPriority w:val="0"/>
    <w:rPr>
      <w:rFonts w:hint="default" w:ascii="Times New Roman" w:hAnsi="Times New Roman" w:cs="Times New Roman"/>
    </w:rPr>
  </w:style>
  <w:style w:type="character" w:customStyle="1" w:styleId="335">
    <w:name w:val="jbox-icon-success"/>
    <w:basedOn w:val="70"/>
    <w:qFormat/>
    <w:uiPriority w:val="0"/>
    <w:rPr>
      <w:rFonts w:hint="default" w:ascii="Times New Roman" w:hAnsi="Times New Roman" w:cs="Times New Roman"/>
    </w:rPr>
  </w:style>
  <w:style w:type="character" w:customStyle="1" w:styleId="336">
    <w:name w:val="maywed421"/>
    <w:qFormat/>
    <w:uiPriority w:val="0"/>
    <w:rPr>
      <w:color w:val="366FB6"/>
      <w:u w:val="none"/>
    </w:rPr>
  </w:style>
  <w:style w:type="character" w:customStyle="1" w:styleId="337">
    <w:name w:val="正文文本缩进 字符1"/>
    <w:qFormat/>
    <w:uiPriority w:val="0"/>
    <w:rPr>
      <w:rFonts w:hint="eastAsia" w:ascii="宋体" w:hAnsi="Courier New" w:eastAsia="宋体"/>
      <w:spacing w:val="-4"/>
      <w:kern w:val="2"/>
      <w:sz w:val="18"/>
    </w:rPr>
  </w:style>
  <w:style w:type="character" w:customStyle="1" w:styleId="338">
    <w:name w:val="jbox-icon-question"/>
    <w:basedOn w:val="70"/>
    <w:qFormat/>
    <w:uiPriority w:val="0"/>
    <w:rPr>
      <w:rFonts w:hint="default" w:ascii="Times New Roman" w:hAnsi="Times New Roman" w:cs="Times New Roman"/>
    </w:rPr>
  </w:style>
  <w:style w:type="character" w:customStyle="1" w:styleId="339">
    <w:name w:val="jbox-icon-loading"/>
    <w:basedOn w:val="70"/>
    <w:qFormat/>
    <w:uiPriority w:val="0"/>
    <w:rPr>
      <w:rFonts w:hint="default" w:ascii="Times New Roman" w:hAnsi="Times New Roman" w:cs="Times New Roman"/>
    </w:rPr>
  </w:style>
  <w:style w:type="character" w:customStyle="1" w:styleId="340">
    <w:name w:val="标题 1 Char Char"/>
    <w:qFormat/>
    <w:uiPriority w:val="0"/>
    <w:rPr>
      <w:rFonts w:hint="eastAsia" w:ascii="宋体" w:hAnsi="宋体" w:eastAsia="宋体"/>
      <w:b/>
      <w:spacing w:val="-2"/>
      <w:sz w:val="24"/>
      <w:lang w:val="en-US" w:eastAsia="zh-CN"/>
    </w:rPr>
  </w:style>
  <w:style w:type="character" w:customStyle="1" w:styleId="341">
    <w:name w:val="jbox-icon-none"/>
    <w:qFormat/>
    <w:uiPriority w:val="0"/>
    <w:rPr>
      <w:vanish/>
    </w:rPr>
  </w:style>
  <w:style w:type="character" w:customStyle="1" w:styleId="342">
    <w:name w:val="sub_title s0"/>
    <w:basedOn w:val="70"/>
    <w:qFormat/>
    <w:uiPriority w:val="0"/>
    <w:rPr>
      <w:rFonts w:hint="default" w:ascii="Times New Roman" w:hAnsi="Times New Roman" w:cs="Times New Roman"/>
    </w:rPr>
  </w:style>
  <w:style w:type="character" w:customStyle="1" w:styleId="343">
    <w:name w:val="纯文本 字符2"/>
    <w:qFormat/>
    <w:uiPriority w:val="0"/>
    <w:rPr>
      <w:rFonts w:hint="eastAsia" w:ascii="宋体" w:hAnsi="Courier New" w:eastAsia="宋体"/>
      <w:kern w:val="2"/>
      <w:sz w:val="24"/>
    </w:rPr>
  </w:style>
  <w:style w:type="character" w:customStyle="1" w:styleId="344">
    <w:name w:val="jbox-icon"/>
    <w:basedOn w:val="70"/>
    <w:qFormat/>
    <w:uiPriority w:val="0"/>
    <w:rPr>
      <w:rFonts w:hint="default" w:ascii="Times New Roman" w:hAnsi="Times New Roman" w:cs="Times New Roman"/>
    </w:rPr>
  </w:style>
  <w:style w:type="character" w:customStyle="1" w:styleId="345">
    <w:name w:val="old"/>
    <w:qFormat/>
    <w:uiPriority w:val="0"/>
    <w:rPr>
      <w:color w:val="999999"/>
    </w:rPr>
  </w:style>
  <w:style w:type="character" w:customStyle="1" w:styleId="346">
    <w:name w:val="font41"/>
    <w:basedOn w:val="70"/>
    <w:qFormat/>
    <w:uiPriority w:val="0"/>
    <w:rPr>
      <w:rFonts w:hint="eastAsia" w:ascii="宋体" w:hAnsi="宋体" w:eastAsia="宋体" w:cs="宋体"/>
      <w:b/>
      <w:bCs/>
      <w:color w:val="000000"/>
      <w:sz w:val="24"/>
      <w:szCs w:val="24"/>
      <w:u w:val="none"/>
    </w:rPr>
  </w:style>
  <w:style w:type="character" w:customStyle="1" w:styleId="347">
    <w:name w:val="font12"/>
    <w:basedOn w:val="70"/>
    <w:qFormat/>
    <w:uiPriority w:val="0"/>
    <w:rPr>
      <w:rFonts w:hint="default" w:ascii="Times New Roman" w:hAnsi="Times New Roman" w:cs="Times New Roman"/>
      <w:color w:val="000000"/>
      <w:sz w:val="24"/>
      <w:szCs w:val="24"/>
      <w:u w:val="none"/>
    </w:rPr>
  </w:style>
  <w:style w:type="character" w:customStyle="1" w:styleId="348">
    <w:name w:val="font111"/>
    <w:basedOn w:val="70"/>
    <w:qFormat/>
    <w:uiPriority w:val="0"/>
    <w:rPr>
      <w:rFonts w:hint="eastAsia" w:ascii="宋体" w:hAnsi="宋体" w:eastAsia="宋体" w:cs="宋体"/>
      <w:color w:val="000000"/>
      <w:sz w:val="22"/>
      <w:szCs w:val="22"/>
      <w:u w:val="none"/>
    </w:rPr>
  </w:style>
  <w:style w:type="character" w:customStyle="1" w:styleId="349">
    <w:name w:val="标题 7 字符1"/>
    <w:basedOn w:val="70"/>
    <w:semiHidden/>
    <w:qFormat/>
    <w:uiPriority w:val="9"/>
    <w:rPr>
      <w:b/>
      <w:bCs/>
      <w:sz w:val="24"/>
      <w:szCs w:val="24"/>
    </w:rPr>
  </w:style>
  <w:style w:type="character" w:customStyle="1" w:styleId="350">
    <w:name w:val="标题 8 字符1"/>
    <w:basedOn w:val="70"/>
    <w:semiHidden/>
    <w:qFormat/>
    <w:uiPriority w:val="9"/>
    <w:rPr>
      <w:rFonts w:hint="default" w:ascii="Cambria" w:hAnsi="Cambria" w:eastAsia="宋体" w:cs="Times New Roman"/>
      <w:sz w:val="24"/>
      <w:szCs w:val="24"/>
    </w:rPr>
  </w:style>
  <w:style w:type="character" w:customStyle="1" w:styleId="351">
    <w:name w:val="标题 9 字符1"/>
    <w:basedOn w:val="70"/>
    <w:semiHidden/>
    <w:qFormat/>
    <w:uiPriority w:val="9"/>
    <w:rPr>
      <w:rFonts w:hint="default" w:ascii="Cambria" w:hAnsi="Cambria" w:eastAsia="宋体" w:cs="Times New Roman"/>
      <w:szCs w:val="21"/>
    </w:rPr>
  </w:style>
  <w:style w:type="table" w:customStyle="1" w:styleId="352">
    <w:name w:val="Table Normal"/>
    <w:qFormat/>
    <w:uiPriority w:val="59"/>
    <w:tblPr>
      <w:tblCellMar>
        <w:top w:w="0" w:type="dxa"/>
        <w:left w:w="108" w:type="dxa"/>
        <w:bottom w:w="0" w:type="dxa"/>
        <w:right w:w="108" w:type="dxa"/>
      </w:tblCellMar>
    </w:tblPr>
  </w:style>
  <w:style w:type="table" w:customStyle="1" w:styleId="353">
    <w:name w:val="华信表格(五号)"/>
    <w:basedOn w:val="63"/>
    <w:qFormat/>
    <w:uiPriority w:val="99"/>
    <w:pPr>
      <w:adjustRightInd w:val="0"/>
      <w:jc w:val="center"/>
    </w:pPr>
    <w:rPr>
      <w:rFonts w:cs="宋体"/>
    </w:rPr>
    <w:tblP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
    <w:tcPr>
      <w:vAlign w:val="center"/>
    </w:tcPr>
  </w:style>
  <w:style w:type="character" w:customStyle="1" w:styleId="354">
    <w:name w:val="批注主题 Char1"/>
    <w:basedOn w:val="311"/>
    <w:qFormat/>
    <w:uiPriority w:val="0"/>
    <w:rPr>
      <w:rFonts w:hint="default" w:ascii="Times New Roman" w:hAnsi="Times New Roman" w:eastAsia="宋体" w:cs="Times New Roman"/>
      <w:b/>
      <w:bCs/>
    </w:rPr>
  </w:style>
  <w:style w:type="paragraph" w:customStyle="1" w:styleId="355">
    <w:name w:val="Body text|1"/>
    <w:basedOn w:val="1"/>
    <w:qFormat/>
    <w:uiPriority w:val="0"/>
    <w:rPr>
      <w:sz w:val="10"/>
      <w:szCs w:val="10"/>
    </w:rPr>
  </w:style>
  <w:style w:type="paragraph" w:customStyle="1" w:styleId="356">
    <w:name w:val="Picture caption|2"/>
    <w:basedOn w:val="1"/>
    <w:qFormat/>
    <w:uiPriority w:val="0"/>
    <w:rPr>
      <w:sz w:val="10"/>
      <w:szCs w:val="10"/>
      <w:lang w:val="zh-TW" w:eastAsia="zh-TW" w:bidi="zh-TW"/>
    </w:rPr>
  </w:style>
  <w:style w:type="paragraph" w:customStyle="1" w:styleId="357">
    <w:name w:val="Picture caption|1"/>
    <w:basedOn w:val="1"/>
    <w:qFormat/>
    <w:uiPriority w:val="0"/>
    <w:rPr>
      <w:rFonts w:ascii="宋体" w:hAnsi="宋体" w:eastAsia="宋体" w:cs="宋体"/>
      <w:sz w:val="9"/>
      <w:szCs w:val="9"/>
    </w:rPr>
  </w:style>
  <w:style w:type="paragraph" w:customStyle="1" w:styleId="358">
    <w:name w:val="Other|2"/>
    <w:basedOn w:val="1"/>
    <w:qFormat/>
    <w:uiPriority w:val="0"/>
    <w:rPr>
      <w:rFonts w:ascii="宋体" w:hAnsi="宋体" w:eastAsia="宋体" w:cs="宋体"/>
      <w:sz w:val="11"/>
      <w:szCs w:val="11"/>
      <w:lang w:val="zh-TW" w:eastAsia="zh-TW" w:bidi="zh-TW"/>
    </w:rPr>
  </w:style>
  <w:style w:type="paragraph" w:customStyle="1" w:styleId="359">
    <w:name w:val="Other|1"/>
    <w:basedOn w:val="1"/>
    <w:qFormat/>
    <w:uiPriority w:val="0"/>
    <w:rPr>
      <w:b/>
      <w:bCs/>
      <w:sz w:val="9"/>
      <w:szCs w:val="9"/>
      <w:lang w:val="zh-TW" w:eastAsia="zh-TW" w:bidi="zh-TW"/>
    </w:rPr>
  </w:style>
  <w:style w:type="character" w:customStyle="1" w:styleId="360">
    <w:name w:val="font51"/>
    <w:basedOn w:val="70"/>
    <w:qFormat/>
    <w:uiPriority w:val="0"/>
    <w:rPr>
      <w:rFonts w:hint="eastAsia" w:ascii="宋体" w:hAnsi="宋体" w:eastAsia="宋体" w:cs="宋体"/>
      <w:color w:val="000000"/>
      <w:sz w:val="20"/>
      <w:szCs w:val="20"/>
      <w:u w:val="none"/>
      <w:vertAlign w:val="superscript"/>
    </w:rPr>
  </w:style>
  <w:style w:type="paragraph" w:customStyle="1" w:styleId="361">
    <w:name w:val="cover"/>
    <w:link w:val="368"/>
    <w:qFormat/>
    <w:uiPriority w:val="0"/>
    <w:rPr>
      <w:rFonts w:ascii="宋体" w:hAnsi="Cambria" w:eastAsia="宋体" w:cs="宋体"/>
      <w:b/>
      <w:kern w:val="2"/>
      <w:sz w:val="52"/>
      <w:szCs w:val="22"/>
      <w:lang w:val="en-US" w:eastAsia="zh-CN" w:bidi="ar-SA"/>
    </w:rPr>
  </w:style>
  <w:style w:type="character" w:customStyle="1" w:styleId="362">
    <w:name w:val="称呼 字符"/>
    <w:basedOn w:val="70"/>
    <w:link w:val="23"/>
    <w:qFormat/>
    <w:uiPriority w:val="0"/>
    <w:rPr>
      <w:szCs w:val="24"/>
    </w:rPr>
  </w:style>
  <w:style w:type="character" w:customStyle="1" w:styleId="363">
    <w:name w:val="尾注文本 字符"/>
    <w:basedOn w:val="70"/>
    <w:link w:val="43"/>
    <w:qFormat/>
    <w:uiPriority w:val="0"/>
    <w:rPr>
      <w:sz w:val="24"/>
    </w:rPr>
  </w:style>
  <w:style w:type="character" w:customStyle="1" w:styleId="364">
    <w:name w:val="副标题 字符"/>
    <w:basedOn w:val="70"/>
    <w:link w:val="48"/>
    <w:qFormat/>
    <w:uiPriority w:val="0"/>
    <w:rPr>
      <w:rFonts w:ascii="Calibri" w:hAnsi="Calibri" w:cs="宋体"/>
      <w:b/>
      <w:bCs/>
      <w:kern w:val="28"/>
      <w:sz w:val="32"/>
      <w:szCs w:val="32"/>
    </w:rPr>
  </w:style>
  <w:style w:type="character" w:customStyle="1" w:styleId="365">
    <w:name w:val="脚注文本 字符"/>
    <w:basedOn w:val="70"/>
    <w:link w:val="51"/>
    <w:qFormat/>
    <w:uiPriority w:val="0"/>
    <w:rPr>
      <w:rFonts w:ascii="宋体" w:hAnsi="Calibri" w:cs="宋体"/>
      <w:kern w:val="2"/>
      <w:sz w:val="18"/>
      <w:szCs w:val="18"/>
    </w:rPr>
  </w:style>
  <w:style w:type="character" w:customStyle="1" w:styleId="366">
    <w:name w:val="标题 字符"/>
    <w:basedOn w:val="70"/>
    <w:link w:val="59"/>
    <w:qFormat/>
    <w:uiPriority w:val="0"/>
    <w:rPr>
      <w:rFonts w:ascii="Cambria" w:hAnsi="Cambria" w:cs="宋体"/>
      <w:b/>
      <w:bCs/>
      <w:kern w:val="2"/>
      <w:sz w:val="32"/>
      <w:szCs w:val="32"/>
    </w:rPr>
  </w:style>
  <w:style w:type="paragraph" w:customStyle="1" w:styleId="367">
    <w:name w:val="Normal Indent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character" w:customStyle="1" w:styleId="368">
    <w:name w:val="cover 字符"/>
    <w:basedOn w:val="70"/>
    <w:link w:val="361"/>
    <w:qFormat/>
    <w:uiPriority w:val="0"/>
    <w:rPr>
      <w:rFonts w:ascii="宋体" w:hAnsi="Cambria" w:cs="宋体"/>
      <w:b/>
      <w:kern w:val="2"/>
      <w:sz w:val="52"/>
      <w:szCs w:val="22"/>
    </w:rPr>
  </w:style>
  <w:style w:type="paragraph" w:customStyle="1" w:styleId="369">
    <w:name w:val="index"/>
    <w:basedOn w:val="42"/>
    <w:link w:val="371"/>
    <w:qFormat/>
    <w:uiPriority w:val="0"/>
    <w:pPr>
      <w:tabs>
        <w:tab w:val="left" w:pos="1050"/>
        <w:tab w:val="left" w:pos="1190"/>
        <w:tab w:val="left" w:pos="1470"/>
        <w:tab w:val="right" w:leader="dot" w:pos="8296"/>
      </w:tabs>
      <w:wordWrap w:val="0"/>
      <w:spacing w:line="360" w:lineRule="auto"/>
    </w:pPr>
    <w:rPr>
      <w:rFonts w:hAnsi="Calibri" w:cs="宋体"/>
      <w:szCs w:val="32"/>
    </w:rPr>
  </w:style>
  <w:style w:type="character" w:customStyle="1" w:styleId="370">
    <w:name w:val="TOC 1 字符"/>
    <w:basedOn w:val="70"/>
    <w:link w:val="42"/>
    <w:qFormat/>
    <w:uiPriority w:val="39"/>
    <w:rPr>
      <w:kern w:val="2"/>
      <w:sz w:val="21"/>
      <w:szCs w:val="22"/>
    </w:rPr>
  </w:style>
  <w:style w:type="character" w:customStyle="1" w:styleId="371">
    <w:name w:val="index 字符"/>
    <w:basedOn w:val="370"/>
    <w:link w:val="369"/>
    <w:qFormat/>
    <w:uiPriority w:val="0"/>
    <w:rPr>
      <w:rFonts w:hAnsi="Calibri" w:cs="宋体"/>
      <w:kern w:val="2"/>
      <w:sz w:val="21"/>
      <w:szCs w:val="32"/>
    </w:rPr>
  </w:style>
  <w:style w:type="paragraph" w:customStyle="1" w:styleId="372">
    <w:name w:val="form"/>
    <w:basedOn w:val="1"/>
    <w:link w:val="373"/>
    <w:qFormat/>
    <w:uiPriority w:val="0"/>
    <w:pPr>
      <w:wordWrap w:val="0"/>
      <w:snapToGrid w:val="0"/>
      <w:jc w:val="center"/>
    </w:pPr>
    <w:rPr>
      <w:rFonts w:ascii="宋体" w:hAnsi="Calibri" w:eastAsia="宋体" w:cs="宋体"/>
      <w:szCs w:val="21"/>
    </w:rPr>
  </w:style>
  <w:style w:type="character" w:customStyle="1" w:styleId="373">
    <w:name w:val="form 字符"/>
    <w:basedOn w:val="70"/>
    <w:link w:val="372"/>
    <w:qFormat/>
    <w:uiPriority w:val="0"/>
    <w:rPr>
      <w:rFonts w:ascii="宋体" w:hAnsi="Calibri" w:cs="宋体"/>
      <w:kern w:val="2"/>
      <w:sz w:val="21"/>
      <w:szCs w:val="21"/>
    </w:rPr>
  </w:style>
  <w:style w:type="paragraph" w:customStyle="1" w:styleId="374">
    <w:name w:val="序号列"/>
    <w:basedOn w:val="114"/>
    <w:link w:val="375"/>
    <w:qFormat/>
    <w:uiPriority w:val="0"/>
    <w:pPr>
      <w:wordWrap w:val="0"/>
      <w:spacing w:line="360" w:lineRule="auto"/>
      <w:ind w:firstLine="0" w:firstLineChars="0"/>
    </w:pPr>
    <w:rPr>
      <w:rFonts w:ascii="宋体" w:hAnsi="Calibri" w:eastAsia="宋体" w:cs="宋体"/>
    </w:rPr>
  </w:style>
  <w:style w:type="character" w:customStyle="1" w:styleId="375">
    <w:name w:val="序号列 字符"/>
    <w:basedOn w:val="256"/>
    <w:link w:val="374"/>
    <w:qFormat/>
    <w:uiPriority w:val="0"/>
    <w:rPr>
      <w:rFonts w:ascii="宋体" w:hAnsi="Calibri" w:eastAsia="宋体" w:cs="宋体"/>
      <w:kern w:val="2"/>
      <w:sz w:val="21"/>
      <w:szCs w:val="22"/>
    </w:rPr>
  </w:style>
  <w:style w:type="paragraph" w:customStyle="1" w:styleId="376">
    <w:name w:val="加粗子列表"/>
    <w:basedOn w:val="114"/>
    <w:link w:val="378"/>
    <w:qFormat/>
    <w:uiPriority w:val="0"/>
    <w:pPr>
      <w:numPr>
        <w:ilvl w:val="0"/>
        <w:numId w:val="4"/>
      </w:numPr>
      <w:wordWrap w:val="0"/>
      <w:spacing w:line="360" w:lineRule="auto"/>
      <w:ind w:firstLine="0" w:firstLineChars="0"/>
    </w:pPr>
    <w:rPr>
      <w:rFonts w:ascii="宋体" w:hAnsi="Calibri" w:eastAsia="宋体" w:cs="宋体"/>
      <w:b/>
      <w:bCs/>
    </w:rPr>
  </w:style>
  <w:style w:type="paragraph" w:customStyle="1" w:styleId="377">
    <w:name w:val="子列2"/>
    <w:basedOn w:val="376"/>
    <w:link w:val="380"/>
    <w:qFormat/>
    <w:uiPriority w:val="0"/>
    <w:pPr>
      <w:numPr>
        <w:ilvl w:val="1"/>
        <w:numId w:val="0"/>
      </w:numPr>
    </w:pPr>
    <w:rPr>
      <w:b w:val="0"/>
      <w:bCs w:val="0"/>
    </w:rPr>
  </w:style>
  <w:style w:type="character" w:customStyle="1" w:styleId="378">
    <w:name w:val="加粗子列表 字符"/>
    <w:basedOn w:val="256"/>
    <w:link w:val="376"/>
    <w:qFormat/>
    <w:uiPriority w:val="0"/>
    <w:rPr>
      <w:rFonts w:ascii="宋体" w:hAnsi="Calibri" w:eastAsia="宋体" w:cs="宋体"/>
      <w:b/>
      <w:bCs/>
      <w:kern w:val="2"/>
      <w:sz w:val="21"/>
      <w:szCs w:val="22"/>
    </w:rPr>
  </w:style>
  <w:style w:type="character" w:customStyle="1" w:styleId="379">
    <w:name w:val="纯文本 Char"/>
    <w:link w:val="163"/>
    <w:qFormat/>
    <w:uiPriority w:val="0"/>
    <w:rPr>
      <w:rFonts w:ascii="宋体" w:hAnsi="Courier New" w:eastAsia="Times New Roman"/>
      <w:kern w:val="2"/>
      <w:sz w:val="30"/>
      <w:szCs w:val="24"/>
    </w:rPr>
  </w:style>
  <w:style w:type="character" w:customStyle="1" w:styleId="380">
    <w:name w:val="子列2 字符"/>
    <w:basedOn w:val="378"/>
    <w:link w:val="377"/>
    <w:qFormat/>
    <w:uiPriority w:val="0"/>
    <w:rPr>
      <w:rFonts w:ascii="宋体" w:hAnsi="Calibri" w:eastAsia="宋体" w:cs="宋体"/>
      <w:b w:val="0"/>
      <w:bCs w:val="0"/>
      <w:kern w:val="2"/>
      <w:sz w:val="21"/>
      <w:szCs w:val="22"/>
    </w:rPr>
  </w:style>
  <w:style w:type="paragraph" w:customStyle="1" w:styleId="381">
    <w:name w:val="文本块2"/>
    <w:basedOn w:val="1"/>
    <w:qFormat/>
    <w:uiPriority w:val="0"/>
    <w:pPr>
      <w:adjustRightInd w:val="0"/>
      <w:snapToGrid w:val="0"/>
      <w:spacing w:line="300" w:lineRule="auto"/>
      <w:ind w:left="958" w:right="-120" w:rightChars="-120"/>
      <w:jc w:val="left"/>
    </w:pPr>
    <w:rPr>
      <w:rFonts w:hint="eastAsia" w:ascii="Century Gothic" w:hAnsi="Century Gothic" w:eastAsia="宋体" w:cs="Times New Roman"/>
      <w:sz w:val="28"/>
      <w:szCs w:val="20"/>
    </w:rPr>
  </w:style>
  <w:style w:type="paragraph" w:customStyle="1" w:styleId="382">
    <w:name w:val="纯文本3"/>
    <w:basedOn w:val="1"/>
    <w:qFormat/>
    <w:uiPriority w:val="99"/>
    <w:pPr>
      <w:adjustRightInd w:val="0"/>
      <w:textAlignment w:val="baseline"/>
    </w:pPr>
    <w:rPr>
      <w:rFonts w:ascii="宋体" w:hAnsi="Courier New" w:eastAsia="楷体_GB2312" w:cs="Times New Roman"/>
      <w:sz w:val="26"/>
      <w:szCs w:val="20"/>
    </w:rPr>
  </w:style>
  <w:style w:type="paragraph" w:customStyle="1" w:styleId="383">
    <w:name w:val="纯文本2"/>
    <w:basedOn w:val="1"/>
    <w:qFormat/>
    <w:uiPriority w:val="0"/>
    <w:rPr>
      <w:rFonts w:ascii="宋体" w:hAnsi="Courier New" w:eastAsia="仿宋_GB2312" w:cs="Times New Roman"/>
      <w:sz w:val="30"/>
      <w:szCs w:val="24"/>
    </w:rPr>
  </w:style>
  <w:style w:type="paragraph" w:customStyle="1" w:styleId="384">
    <w:name w:val="Body Text Indent1"/>
    <w:basedOn w:val="1"/>
    <w:qFormat/>
    <w:uiPriority w:val="99"/>
    <w:pPr>
      <w:spacing w:line="200" w:lineRule="exact"/>
      <w:ind w:firstLine="301"/>
    </w:pPr>
    <w:rPr>
      <w:rFonts w:ascii="宋体" w:hAnsi="Courier New" w:eastAsia="宋体" w:cs="Times New Roman"/>
      <w:spacing w:val="-4"/>
      <w:kern w:val="0"/>
      <w:sz w:val="18"/>
      <w:szCs w:val="24"/>
    </w:rPr>
  </w:style>
  <w:style w:type="character" w:customStyle="1" w:styleId="385">
    <w:name w:val="批注框文本 Char"/>
    <w:basedOn w:val="70"/>
    <w:link w:val="386"/>
    <w:qFormat/>
    <w:uiPriority w:val="0"/>
    <w:rPr>
      <w:rFonts w:ascii="Calibri" w:hAnsi="Calibri"/>
      <w:sz w:val="18"/>
      <w:szCs w:val="18"/>
    </w:rPr>
  </w:style>
  <w:style w:type="paragraph" w:customStyle="1" w:styleId="386">
    <w:name w:val="批注框文本1"/>
    <w:basedOn w:val="1"/>
    <w:link w:val="385"/>
    <w:qFormat/>
    <w:uiPriority w:val="0"/>
    <w:rPr>
      <w:rFonts w:ascii="Calibri" w:hAnsi="Calibri" w:eastAsia="宋体" w:cs="Times New Roman"/>
      <w:kern w:val="0"/>
      <w:sz w:val="18"/>
      <w:szCs w:val="18"/>
    </w:rPr>
  </w:style>
  <w:style w:type="paragraph" w:customStyle="1" w:styleId="387">
    <w:name w:val="纯文本5"/>
    <w:basedOn w:val="1"/>
    <w:qFormat/>
    <w:uiPriority w:val="0"/>
    <w:rPr>
      <w:rFonts w:ascii="宋体" w:hAnsi="Courier New" w:eastAsia="仿宋_GB2312" w:cs="Times New Roman"/>
      <w:sz w:val="30"/>
      <w:szCs w:val="24"/>
    </w:rPr>
  </w:style>
  <w:style w:type="paragraph" w:customStyle="1" w:styleId="388">
    <w:name w:val="附件格式"/>
    <w:basedOn w:val="1"/>
    <w:link w:val="389"/>
    <w:qFormat/>
    <w:uiPriority w:val="0"/>
    <w:pPr>
      <w:wordWrap w:val="0"/>
      <w:spacing w:line="360" w:lineRule="auto"/>
      <w:ind w:firstLine="200" w:firstLineChars="200"/>
    </w:pPr>
    <w:rPr>
      <w:rFonts w:ascii="宋体" w:hAnsi="Calibri" w:eastAsia="宋体" w:cs="宋体"/>
      <w:sz w:val="28"/>
    </w:rPr>
  </w:style>
  <w:style w:type="character" w:customStyle="1" w:styleId="389">
    <w:name w:val="附件格式 字符"/>
    <w:basedOn w:val="70"/>
    <w:link w:val="388"/>
    <w:qFormat/>
    <w:uiPriority w:val="0"/>
    <w:rPr>
      <w:rFonts w:ascii="宋体" w:hAnsi="Calibri" w:cs="宋体"/>
      <w:kern w:val="2"/>
      <w:sz w:val="28"/>
      <w:szCs w:val="22"/>
    </w:rPr>
  </w:style>
  <w:style w:type="paragraph" w:customStyle="1" w:styleId="390">
    <w:name w:val="大纲"/>
    <w:next w:val="1"/>
    <w:link w:val="391"/>
    <w:qFormat/>
    <w:uiPriority w:val="0"/>
    <w:pPr>
      <w:spacing w:line="360" w:lineRule="auto"/>
      <w:outlineLvl w:val="1"/>
    </w:pPr>
    <w:rPr>
      <w:rFonts w:ascii="宋体" w:hAnsi="Calibri" w:eastAsia="宋体" w:cs="宋体"/>
      <w:b/>
      <w:bCs/>
      <w:kern w:val="2"/>
      <w:sz w:val="24"/>
      <w:szCs w:val="22"/>
      <w:lang w:val="en-US" w:eastAsia="zh-CN" w:bidi="ar-SA"/>
    </w:rPr>
  </w:style>
  <w:style w:type="character" w:customStyle="1" w:styleId="391">
    <w:name w:val="大纲 字符"/>
    <w:basedOn w:val="70"/>
    <w:link w:val="390"/>
    <w:qFormat/>
    <w:uiPriority w:val="0"/>
    <w:rPr>
      <w:rFonts w:ascii="宋体" w:hAnsi="Calibri" w:cs="宋体"/>
      <w:b/>
      <w:bCs/>
      <w:kern w:val="2"/>
      <w:sz w:val="24"/>
      <w:szCs w:val="22"/>
    </w:rPr>
  </w:style>
  <w:style w:type="character" w:customStyle="1" w:styleId="392">
    <w:name w:val="fontstyle01"/>
    <w:qFormat/>
    <w:uiPriority w:val="0"/>
    <w:rPr>
      <w:rFonts w:hint="eastAsia" w:ascii="宋体" w:hAnsi="宋体" w:eastAsia="宋体"/>
      <w:color w:val="000000"/>
      <w:sz w:val="44"/>
      <w:szCs w:val="44"/>
    </w:rPr>
  </w:style>
  <w:style w:type="character" w:customStyle="1" w:styleId="393">
    <w:name w:val="bookmark-item"/>
    <w:basedOn w:val="70"/>
    <w:qFormat/>
    <w:uiPriority w:val="0"/>
  </w:style>
  <w:style w:type="character" w:customStyle="1" w:styleId="394">
    <w:name w:val="Body Text Indent Char Char"/>
    <w:basedOn w:val="70"/>
    <w:link w:val="395"/>
    <w:qFormat/>
    <w:uiPriority w:val="0"/>
  </w:style>
  <w:style w:type="paragraph" w:customStyle="1" w:styleId="395">
    <w:name w:val="正文文本缩进1"/>
    <w:basedOn w:val="1"/>
    <w:link w:val="394"/>
    <w:qFormat/>
    <w:uiPriority w:val="0"/>
    <w:pPr>
      <w:spacing w:line="200" w:lineRule="exact"/>
      <w:ind w:firstLine="301"/>
    </w:pPr>
    <w:rPr>
      <w:rFonts w:ascii="Times New Roman" w:hAnsi="Times New Roman" w:eastAsia="宋体" w:cs="Times New Roman"/>
      <w:kern w:val="0"/>
      <w:sz w:val="20"/>
      <w:szCs w:val="20"/>
    </w:rPr>
  </w:style>
  <w:style w:type="paragraph" w:customStyle="1" w:styleId="396">
    <w:name w:val="段"/>
    <w:link w:val="41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styleId="397">
    <w:name w:val="Placeholder Text"/>
    <w:basedOn w:val="70"/>
    <w:qFormat/>
    <w:uiPriority w:val="99"/>
    <w:rPr>
      <w:color w:val="808080"/>
    </w:rPr>
  </w:style>
  <w:style w:type="paragraph" w:customStyle="1" w:styleId="398">
    <w:name w:val="Char Char1"/>
    <w:basedOn w:val="1"/>
    <w:qFormat/>
    <w:uiPriority w:val="0"/>
    <w:pPr>
      <w:spacing w:line="360" w:lineRule="auto"/>
      <w:ind w:firstLine="200" w:firstLineChars="200"/>
    </w:pPr>
    <w:rPr>
      <w:rFonts w:ascii="宋体" w:hAnsi="宋体" w:eastAsia="宋体" w:cs="宋体"/>
      <w:sz w:val="24"/>
      <w:szCs w:val="24"/>
    </w:rPr>
  </w:style>
  <w:style w:type="paragraph" w:customStyle="1" w:styleId="399">
    <w:name w:val="4需求"/>
    <w:next w:val="1"/>
    <w:link w:val="401"/>
    <w:qFormat/>
    <w:uiPriority w:val="0"/>
    <w:pPr>
      <w:numPr>
        <w:ilvl w:val="3"/>
        <w:numId w:val="5"/>
      </w:numPr>
    </w:pPr>
    <w:rPr>
      <w:rFonts w:ascii="宋体" w:hAnsi="Calibri" w:eastAsia="宋体" w:cs="宋体"/>
      <w:b/>
      <w:bCs/>
      <w:kern w:val="2"/>
      <w:sz w:val="21"/>
      <w:szCs w:val="22"/>
      <w:lang w:val="en-US" w:eastAsia="zh-CN" w:bidi="ar-SA"/>
    </w:rPr>
  </w:style>
  <w:style w:type="paragraph" w:customStyle="1" w:styleId="400">
    <w:name w:val="3需求"/>
    <w:next w:val="399"/>
    <w:link w:val="403"/>
    <w:qFormat/>
    <w:uiPriority w:val="0"/>
    <w:pPr>
      <w:numPr>
        <w:ilvl w:val="2"/>
        <w:numId w:val="5"/>
      </w:numPr>
      <w:snapToGrid w:val="0"/>
      <w:spacing w:beforeLines="50"/>
    </w:pPr>
    <w:rPr>
      <w:rFonts w:ascii="宋体" w:hAnsi="Calibri" w:eastAsia="宋体" w:cs="宋体"/>
      <w:b/>
      <w:bCs/>
      <w:kern w:val="2"/>
      <w:sz w:val="24"/>
      <w:szCs w:val="22"/>
      <w:lang w:val="en-US" w:eastAsia="zh-CN" w:bidi="ar-SA"/>
    </w:rPr>
  </w:style>
  <w:style w:type="character" w:customStyle="1" w:styleId="401">
    <w:name w:val="4需求 字符"/>
    <w:basedOn w:val="70"/>
    <w:link w:val="399"/>
    <w:qFormat/>
    <w:uiPriority w:val="0"/>
    <w:rPr>
      <w:rFonts w:ascii="宋体" w:hAnsi="Calibri" w:cs="宋体"/>
      <w:b/>
      <w:bCs/>
      <w:kern w:val="2"/>
      <w:sz w:val="21"/>
      <w:szCs w:val="22"/>
    </w:rPr>
  </w:style>
  <w:style w:type="paragraph" w:customStyle="1" w:styleId="402">
    <w:name w:val="2需求"/>
    <w:next w:val="1"/>
    <w:link w:val="405"/>
    <w:qFormat/>
    <w:uiPriority w:val="0"/>
    <w:pPr>
      <w:numPr>
        <w:ilvl w:val="1"/>
        <w:numId w:val="5"/>
      </w:numPr>
      <w:snapToGrid w:val="0"/>
      <w:spacing w:beforeLines="50"/>
    </w:pPr>
    <w:rPr>
      <w:rFonts w:ascii="宋体" w:hAnsi="Calibri" w:eastAsia="宋体" w:cs="宋体"/>
      <w:b/>
      <w:bCs/>
      <w:kern w:val="2"/>
      <w:sz w:val="24"/>
      <w:szCs w:val="22"/>
      <w:lang w:val="en-US" w:eastAsia="zh-CN" w:bidi="ar-SA"/>
    </w:rPr>
  </w:style>
  <w:style w:type="character" w:customStyle="1" w:styleId="403">
    <w:name w:val="3需求 字符"/>
    <w:basedOn w:val="70"/>
    <w:link w:val="400"/>
    <w:qFormat/>
    <w:uiPriority w:val="0"/>
    <w:rPr>
      <w:rFonts w:ascii="宋体" w:hAnsi="Calibri" w:cs="宋体"/>
      <w:b/>
      <w:bCs/>
      <w:kern w:val="2"/>
      <w:sz w:val="24"/>
      <w:szCs w:val="22"/>
    </w:rPr>
  </w:style>
  <w:style w:type="paragraph" w:customStyle="1" w:styleId="404">
    <w:name w:val="1需求"/>
    <w:next w:val="1"/>
    <w:link w:val="406"/>
    <w:qFormat/>
    <w:uiPriority w:val="0"/>
    <w:pPr>
      <w:numPr>
        <w:ilvl w:val="0"/>
        <w:numId w:val="5"/>
      </w:numPr>
      <w:snapToGrid w:val="0"/>
      <w:spacing w:beforeLines="50"/>
    </w:pPr>
    <w:rPr>
      <w:rFonts w:ascii="宋体" w:hAnsi="Calibri" w:eastAsia="宋体" w:cs="宋体"/>
      <w:b/>
      <w:bCs/>
      <w:kern w:val="2"/>
      <w:sz w:val="28"/>
      <w:szCs w:val="22"/>
      <w:lang w:val="en-US" w:eastAsia="zh-CN" w:bidi="ar-SA"/>
    </w:rPr>
  </w:style>
  <w:style w:type="character" w:customStyle="1" w:styleId="405">
    <w:name w:val="2需求 字符"/>
    <w:basedOn w:val="70"/>
    <w:link w:val="402"/>
    <w:qFormat/>
    <w:uiPriority w:val="0"/>
    <w:rPr>
      <w:rFonts w:ascii="宋体" w:hAnsi="Calibri" w:cs="宋体"/>
      <w:b/>
      <w:bCs/>
      <w:kern w:val="2"/>
      <w:sz w:val="24"/>
      <w:szCs w:val="22"/>
    </w:rPr>
  </w:style>
  <w:style w:type="character" w:customStyle="1" w:styleId="406">
    <w:name w:val="1需求 字符"/>
    <w:basedOn w:val="70"/>
    <w:link w:val="404"/>
    <w:qFormat/>
    <w:uiPriority w:val="0"/>
    <w:rPr>
      <w:rFonts w:ascii="宋体" w:hAnsi="Calibri" w:cs="宋体"/>
      <w:b/>
      <w:bCs/>
      <w:kern w:val="2"/>
      <w:sz w:val="28"/>
      <w:szCs w:val="22"/>
    </w:rPr>
  </w:style>
  <w:style w:type="paragraph" w:customStyle="1" w:styleId="407">
    <w:name w:val="国普正文"/>
    <w:basedOn w:val="1"/>
    <w:qFormat/>
    <w:uiPriority w:val="0"/>
    <w:pPr>
      <w:spacing w:line="360" w:lineRule="auto"/>
      <w:ind w:firstLine="600" w:firstLineChars="200"/>
    </w:pPr>
    <w:rPr>
      <w:rFonts w:ascii="仿宋_GB2312" w:hAnsi="Calibri" w:eastAsia="仿宋_GB2312" w:cs="Times New Roman"/>
      <w:sz w:val="30"/>
      <w:szCs w:val="30"/>
    </w:rPr>
  </w:style>
  <w:style w:type="character" w:customStyle="1" w:styleId="408">
    <w:name w:val="批注框文本 字符1"/>
    <w:qFormat/>
    <w:uiPriority w:val="0"/>
    <w:rPr>
      <w:rFonts w:ascii="Times New Roman" w:hAnsi="Times New Roman" w:eastAsia="宋体" w:cs="Times New Roman"/>
      <w:sz w:val="18"/>
      <w:szCs w:val="18"/>
    </w:rPr>
  </w:style>
  <w:style w:type="character" w:customStyle="1" w:styleId="409">
    <w:name w:val="页眉 字符1"/>
    <w:qFormat/>
    <w:uiPriority w:val="99"/>
    <w:rPr>
      <w:rFonts w:ascii="Times New Roman" w:hAnsi="Times New Roman" w:eastAsia="宋体" w:cs="Times New Roman"/>
      <w:sz w:val="18"/>
      <w:szCs w:val="18"/>
    </w:rPr>
  </w:style>
  <w:style w:type="character" w:customStyle="1" w:styleId="410">
    <w:name w:val="v0066991"/>
    <w:qFormat/>
    <w:uiPriority w:val="0"/>
    <w:rPr>
      <w:rFonts w:ascii="Arial" w:hAnsi="Arial" w:eastAsia="宋体" w:cs="Times New Roman"/>
      <w:color w:val="000000"/>
      <w:sz w:val="26"/>
      <w:u w:val="none"/>
    </w:rPr>
  </w:style>
  <w:style w:type="character" w:customStyle="1" w:styleId="411">
    <w:name w:val="正文2 Char"/>
    <w:link w:val="173"/>
    <w:qFormat/>
    <w:uiPriority w:val="0"/>
    <w:rPr>
      <w:kern w:val="2"/>
      <w:sz w:val="24"/>
    </w:rPr>
  </w:style>
  <w:style w:type="character" w:customStyle="1" w:styleId="412">
    <w:name w:val="Char Char7"/>
    <w:qFormat/>
    <w:uiPriority w:val="0"/>
    <w:rPr>
      <w:rFonts w:ascii="Cambria" w:hAnsi="Cambria" w:eastAsia="仿宋_GB2312" w:cs="Times New Roman"/>
      <w:b/>
      <w:kern w:val="2"/>
      <w:sz w:val="28"/>
    </w:rPr>
  </w:style>
  <w:style w:type="character" w:customStyle="1" w:styleId="413">
    <w:name w:val="Subtle Reference1"/>
    <w:qFormat/>
    <w:uiPriority w:val="0"/>
    <w:rPr>
      <w:rFonts w:ascii="Calibri" w:hAnsi="Calibri" w:eastAsia="宋体" w:cs="Times New Roman"/>
      <w:smallCaps/>
      <w:color w:val="C0504D"/>
      <w:u w:val="single"/>
    </w:rPr>
  </w:style>
  <w:style w:type="character" w:customStyle="1" w:styleId="414">
    <w:name w:val="正文首行缩进 Char"/>
    <w:qFormat/>
    <w:uiPriority w:val="0"/>
    <w:rPr>
      <w:rFonts w:ascii="Times New Roman" w:hAnsi="Times New Roman" w:eastAsia="仿宋_GB2312" w:cs="Times New Roman"/>
      <w:kern w:val="2"/>
      <w:sz w:val="21"/>
      <w:szCs w:val="24"/>
    </w:rPr>
  </w:style>
  <w:style w:type="character" w:customStyle="1" w:styleId="415">
    <w:name w:val="段 Char"/>
    <w:link w:val="396"/>
    <w:qFormat/>
    <w:uiPriority w:val="0"/>
    <w:rPr>
      <w:rFonts w:ascii="宋体"/>
      <w:sz w:val="21"/>
    </w:rPr>
  </w:style>
  <w:style w:type="character" w:customStyle="1" w:styleId="416">
    <w:name w:val="样式1 Char Char"/>
    <w:link w:val="149"/>
    <w:qFormat/>
    <w:uiPriority w:val="0"/>
    <w:rPr>
      <w:rFonts w:ascii="Calibri" w:hAnsi="Calibri"/>
      <w:b/>
      <w:i/>
      <w:sz w:val="24"/>
      <w:szCs w:val="21"/>
      <w:u w:val="thick"/>
    </w:rPr>
  </w:style>
  <w:style w:type="character" w:customStyle="1" w:styleId="417">
    <w:name w:val="17"/>
    <w:qFormat/>
    <w:uiPriority w:val="0"/>
    <w:rPr>
      <w:rFonts w:hint="default" w:ascii="Calibri" w:hAnsi="Calibri" w:eastAsia="宋体" w:cs="Times New Roman"/>
      <w:sz w:val="21"/>
      <w:szCs w:val="21"/>
    </w:rPr>
  </w:style>
  <w:style w:type="character" w:customStyle="1" w:styleId="418">
    <w:name w:val="标题 6 Char1"/>
    <w:qFormat/>
    <w:uiPriority w:val="0"/>
    <w:rPr>
      <w:rFonts w:ascii="Arial" w:hAnsi="Arial" w:eastAsia="黑体" w:cs="Times New Roman"/>
      <w:b/>
      <w:kern w:val="2"/>
      <w:sz w:val="24"/>
    </w:rPr>
  </w:style>
  <w:style w:type="character" w:customStyle="1" w:styleId="419">
    <w:name w:val="自定义正文 Char Char"/>
    <w:qFormat/>
    <w:uiPriority w:val="0"/>
    <w:rPr>
      <w:rFonts w:ascii="Calibri" w:hAnsi="Calibri" w:eastAsia="宋体" w:cs="Times New Roman"/>
      <w:sz w:val="24"/>
    </w:rPr>
  </w:style>
  <w:style w:type="character" w:customStyle="1" w:styleId="420">
    <w:name w:val="正文文本 Char3"/>
    <w:qFormat/>
    <w:uiPriority w:val="0"/>
    <w:rPr>
      <w:rFonts w:ascii="Times New Roman" w:hAnsi="Times New Roman" w:eastAsia="宋体" w:cs="Times New Roman"/>
      <w:sz w:val="20"/>
      <w:szCs w:val="20"/>
    </w:rPr>
  </w:style>
  <w:style w:type="character" w:customStyle="1" w:styleId="421">
    <w:name w:val="标题 2 Char1"/>
    <w:qFormat/>
    <w:uiPriority w:val="0"/>
    <w:rPr>
      <w:rFonts w:ascii="仿宋_GB2312" w:hAnsi="Calibri" w:eastAsia="仿宋_GB2312" w:cs="Times New Roman"/>
      <w:sz w:val="28"/>
    </w:rPr>
  </w:style>
  <w:style w:type="character" w:customStyle="1" w:styleId="422">
    <w:name w:val="批注引用111"/>
    <w:qFormat/>
    <w:uiPriority w:val="0"/>
    <w:rPr>
      <w:rFonts w:ascii="Calibri" w:hAnsi="Calibri" w:eastAsia="宋体" w:cs="Times New Roman"/>
      <w:sz w:val="21"/>
      <w:szCs w:val="21"/>
    </w:rPr>
  </w:style>
  <w:style w:type="character" w:customStyle="1" w:styleId="423">
    <w:name w:val="blue"/>
    <w:qFormat/>
    <w:uiPriority w:val="0"/>
    <w:rPr>
      <w:rFonts w:ascii="Calibri" w:hAnsi="Calibri" w:eastAsia="宋体" w:cs="Times New Roman"/>
    </w:rPr>
  </w:style>
  <w:style w:type="character" w:customStyle="1" w:styleId="424">
    <w:name w:val="段 Char Char"/>
    <w:qFormat/>
    <w:uiPriority w:val="0"/>
    <w:rPr>
      <w:rFonts w:ascii="宋体" w:hAnsi="Calibri" w:eastAsia="宋体" w:cs="Times New Roman"/>
      <w:lang w:val="en-US" w:eastAsia="zh-CN"/>
    </w:rPr>
  </w:style>
  <w:style w:type="character" w:customStyle="1" w:styleId="425">
    <w:name w:val="标题3 Char"/>
    <w:link w:val="426"/>
    <w:qFormat/>
    <w:uiPriority w:val="0"/>
    <w:rPr>
      <w:rFonts w:ascii="宋体" w:hAnsi="宋体" w:eastAsia="华文中宋" w:cs="Arial"/>
      <w:b/>
      <w:sz w:val="24"/>
      <w:szCs w:val="24"/>
    </w:rPr>
  </w:style>
  <w:style w:type="paragraph" w:customStyle="1" w:styleId="426">
    <w:name w:val="标题3"/>
    <w:basedOn w:val="1"/>
    <w:next w:val="1"/>
    <w:link w:val="425"/>
    <w:qFormat/>
    <w:uiPriority w:val="0"/>
    <w:pPr>
      <w:widowControl/>
      <w:jc w:val="left"/>
    </w:pPr>
    <w:rPr>
      <w:rFonts w:ascii="宋体" w:hAnsi="宋体" w:eastAsia="华文中宋" w:cs="Arial"/>
      <w:b/>
      <w:kern w:val="0"/>
      <w:sz w:val="24"/>
      <w:szCs w:val="24"/>
    </w:rPr>
  </w:style>
  <w:style w:type="character" w:customStyle="1" w:styleId="427">
    <w:name w:val="style17"/>
    <w:qFormat/>
    <w:uiPriority w:val="0"/>
    <w:rPr>
      <w:rFonts w:ascii="Calibri" w:hAnsi="Calibri" w:eastAsia="宋体" w:cs="Times New Roman"/>
    </w:rPr>
  </w:style>
  <w:style w:type="character" w:customStyle="1" w:styleId="428">
    <w:name w:val="g1"/>
    <w:qFormat/>
    <w:uiPriority w:val="0"/>
    <w:rPr>
      <w:rFonts w:ascii="Calibri" w:hAnsi="Calibri" w:eastAsia="宋体" w:cs="Times New Roman"/>
      <w:color w:val="008000"/>
    </w:rPr>
  </w:style>
  <w:style w:type="character" w:customStyle="1" w:styleId="429">
    <w:name w:val="Char Char9"/>
    <w:qFormat/>
    <w:uiPriority w:val="0"/>
    <w:rPr>
      <w:rFonts w:ascii="Calibri" w:hAnsi="Calibri" w:eastAsia="宋体" w:cs="Times New Roman"/>
      <w:b/>
      <w:kern w:val="44"/>
      <w:sz w:val="44"/>
    </w:rPr>
  </w:style>
  <w:style w:type="character" w:customStyle="1" w:styleId="430">
    <w:name w:val="页脚 Char3"/>
    <w:qFormat/>
    <w:uiPriority w:val="0"/>
    <w:rPr>
      <w:rFonts w:ascii="Times New Roman" w:hAnsi="Times New Roman" w:eastAsia="宋体" w:cs="Times New Roman"/>
      <w:sz w:val="20"/>
      <w:szCs w:val="20"/>
    </w:rPr>
  </w:style>
  <w:style w:type="character" w:customStyle="1" w:styleId="431">
    <w:name w:val="称呼 Char"/>
    <w:qFormat/>
    <w:uiPriority w:val="0"/>
    <w:rPr>
      <w:rFonts w:ascii="Times New Roman" w:hAnsi="Times New Roman" w:eastAsia="宋体" w:cs="Times New Roman"/>
      <w:kern w:val="2"/>
      <w:sz w:val="21"/>
      <w:szCs w:val="24"/>
    </w:rPr>
  </w:style>
  <w:style w:type="character" w:customStyle="1" w:styleId="432">
    <w:name w:val="●一级符号home Char Char1"/>
    <w:link w:val="433"/>
    <w:qFormat/>
    <w:uiPriority w:val="0"/>
    <w:rPr>
      <w:rFonts w:ascii="Verdana" w:hAnsi="Verdana"/>
      <w:sz w:val="21"/>
      <w:lang w:val="zh-CN"/>
    </w:rPr>
  </w:style>
  <w:style w:type="paragraph" w:customStyle="1" w:styleId="433">
    <w:name w:val="●一级符号home"/>
    <w:basedOn w:val="1"/>
    <w:link w:val="432"/>
    <w:qFormat/>
    <w:uiPriority w:val="0"/>
    <w:pPr>
      <w:tabs>
        <w:tab w:val="left" w:pos="901"/>
      </w:tabs>
      <w:spacing w:line="360" w:lineRule="auto"/>
    </w:pPr>
    <w:rPr>
      <w:rFonts w:ascii="Verdana" w:hAnsi="Verdana" w:eastAsia="宋体" w:cs="Times New Roman"/>
      <w:kern w:val="0"/>
      <w:szCs w:val="20"/>
      <w:lang w:val="zh-CN"/>
    </w:rPr>
  </w:style>
  <w:style w:type="character" w:customStyle="1" w:styleId="434">
    <w:name w:val="15"/>
    <w:qFormat/>
    <w:uiPriority w:val="0"/>
    <w:rPr>
      <w:rFonts w:hint="default" w:ascii="Calibri" w:hAnsi="Calibri" w:eastAsia="宋体" w:cs="Times New Roman"/>
      <w:sz w:val="18"/>
      <w:szCs w:val="18"/>
    </w:rPr>
  </w:style>
  <w:style w:type="character" w:customStyle="1" w:styleId="435">
    <w:name w:val="font81"/>
    <w:qFormat/>
    <w:uiPriority w:val="0"/>
    <w:rPr>
      <w:rFonts w:hint="default" w:ascii="Times New Roman" w:hAnsi="Times New Roman" w:eastAsia="宋体" w:cs="Times New Roman"/>
      <w:color w:val="000000"/>
      <w:sz w:val="18"/>
      <w:szCs w:val="18"/>
      <w:u w:val="none"/>
    </w:rPr>
  </w:style>
  <w:style w:type="character" w:customStyle="1" w:styleId="436">
    <w:name w:val="16"/>
    <w:qFormat/>
    <w:uiPriority w:val="0"/>
    <w:rPr>
      <w:rFonts w:hint="default" w:ascii="Calibri" w:hAnsi="Calibri" w:eastAsia="宋体" w:cs="Times New Roman"/>
      <w:sz w:val="21"/>
      <w:szCs w:val="21"/>
    </w:rPr>
  </w:style>
  <w:style w:type="character" w:customStyle="1" w:styleId="437">
    <w:name w:val="lf3"/>
    <w:qFormat/>
    <w:uiPriority w:val="0"/>
    <w:rPr>
      <w:rFonts w:ascii="Calibri" w:hAnsi="Calibri" w:eastAsia="宋体" w:cs="Times New Roman"/>
    </w:rPr>
  </w:style>
  <w:style w:type="character" w:customStyle="1" w:styleId="438">
    <w:name w:val="正文文本缩进 Char2"/>
    <w:qFormat/>
    <w:uiPriority w:val="0"/>
    <w:rPr>
      <w:rFonts w:ascii="Calibri" w:hAnsi="Calibri" w:eastAsia="宋体" w:cs="Times New Roman"/>
      <w:kern w:val="2"/>
      <w:sz w:val="21"/>
    </w:rPr>
  </w:style>
  <w:style w:type="character" w:customStyle="1" w:styleId="439">
    <w:name w:val="自定义正文 Char"/>
    <w:link w:val="440"/>
    <w:qFormat/>
    <w:uiPriority w:val="0"/>
    <w:rPr>
      <w:kern w:val="2"/>
      <w:sz w:val="24"/>
    </w:rPr>
  </w:style>
  <w:style w:type="paragraph" w:customStyle="1" w:styleId="440">
    <w:name w:val="自定义正文"/>
    <w:basedOn w:val="1"/>
    <w:link w:val="439"/>
    <w:qFormat/>
    <w:uiPriority w:val="0"/>
    <w:pPr>
      <w:spacing w:afterLines="50" w:line="360" w:lineRule="auto"/>
      <w:ind w:firstLine="200" w:firstLineChars="200"/>
      <w:jc w:val="left"/>
    </w:pPr>
    <w:rPr>
      <w:rFonts w:ascii="Times New Roman" w:hAnsi="Times New Roman" w:eastAsia="宋体" w:cs="Times New Roman"/>
      <w:sz w:val="24"/>
      <w:szCs w:val="20"/>
    </w:rPr>
  </w:style>
  <w:style w:type="character" w:customStyle="1" w:styleId="441">
    <w:name w:val="样式 黑体 二号"/>
    <w:qFormat/>
    <w:uiPriority w:val="0"/>
    <w:rPr>
      <w:rFonts w:ascii="Arial" w:hAnsi="Arial" w:eastAsia="黑体" w:cs="Times New Roman"/>
      <w:sz w:val="44"/>
    </w:rPr>
  </w:style>
  <w:style w:type="character" w:customStyle="1" w:styleId="442">
    <w:name w:val="标题 Char1"/>
    <w:qFormat/>
    <w:uiPriority w:val="0"/>
    <w:rPr>
      <w:rFonts w:ascii="Calibri" w:hAnsi="Calibri" w:eastAsia="黑体" w:cs="Times New Roman"/>
      <w:b/>
      <w:sz w:val="28"/>
    </w:rPr>
  </w:style>
  <w:style w:type="character" w:customStyle="1" w:styleId="443">
    <w:name w:val="textfont"/>
    <w:qFormat/>
    <w:uiPriority w:val="0"/>
    <w:rPr>
      <w:rFonts w:ascii="Calibri" w:hAnsi="Calibri" w:eastAsia="宋体" w:cs="Times New Roman"/>
    </w:rPr>
  </w:style>
  <w:style w:type="character" w:customStyle="1" w:styleId="444">
    <w:name w:val="r13"/>
    <w:qFormat/>
    <w:uiPriority w:val="0"/>
    <w:rPr>
      <w:rFonts w:ascii="Calibri" w:hAnsi="Calibri" w:eastAsia="宋体" w:cs="Times New Roman"/>
    </w:rPr>
  </w:style>
  <w:style w:type="character" w:customStyle="1" w:styleId="445">
    <w:name w:val="副标题 Char"/>
    <w:qFormat/>
    <w:uiPriority w:val="0"/>
    <w:rPr>
      <w:rFonts w:ascii="Cambria" w:hAnsi="Cambria" w:eastAsia="宋体" w:cs="Times New Roman"/>
      <w:b/>
      <w:bCs/>
      <w:kern w:val="28"/>
      <w:sz w:val="32"/>
      <w:szCs w:val="32"/>
    </w:rPr>
  </w:style>
  <w:style w:type="character" w:customStyle="1" w:styleId="446">
    <w:name w:val="style15"/>
    <w:qFormat/>
    <w:uiPriority w:val="0"/>
    <w:rPr>
      <w:rFonts w:ascii="Calibri" w:hAnsi="Calibri" w:eastAsia="宋体" w:cs="Times New Roman"/>
    </w:rPr>
  </w:style>
  <w:style w:type="character" w:customStyle="1" w:styleId="447">
    <w:name w:val="页眉 Char2"/>
    <w:qFormat/>
    <w:uiPriority w:val="0"/>
    <w:rPr>
      <w:rFonts w:ascii="Calibri" w:hAnsi="Calibri" w:eastAsia="宋体" w:cs="Times New Roman"/>
      <w:kern w:val="2"/>
      <w:sz w:val="18"/>
    </w:rPr>
  </w:style>
  <w:style w:type="character" w:customStyle="1" w:styleId="448">
    <w:name w:val="headline-content2"/>
    <w:qFormat/>
    <w:uiPriority w:val="0"/>
    <w:rPr>
      <w:rFonts w:ascii="Calibri" w:hAnsi="Calibri" w:eastAsia="宋体" w:cs="Times New Roman"/>
    </w:rPr>
  </w:style>
  <w:style w:type="character" w:customStyle="1" w:styleId="449">
    <w:name w:val="paramname"/>
    <w:qFormat/>
    <w:uiPriority w:val="0"/>
    <w:rPr>
      <w:rFonts w:ascii="Calibri" w:hAnsi="Calibri" w:eastAsia="宋体" w:cs="Times New Roman"/>
    </w:rPr>
  </w:style>
  <w:style w:type="character" w:customStyle="1" w:styleId="450">
    <w:name w:val="页眉 Char Char"/>
    <w:qFormat/>
    <w:uiPriority w:val="0"/>
    <w:rPr>
      <w:rFonts w:ascii="Calibri" w:hAnsi="Calibri" w:eastAsia="宋体" w:cs="Times New Roman"/>
      <w:kern w:val="2"/>
      <w:sz w:val="18"/>
      <w:lang w:val="en-US" w:eastAsia="zh-CN"/>
    </w:rPr>
  </w:style>
  <w:style w:type="character" w:customStyle="1" w:styleId="451">
    <w:name w:val="正文2 Char Char"/>
    <w:qFormat/>
    <w:uiPriority w:val="0"/>
    <w:rPr>
      <w:rFonts w:ascii="Calibri" w:hAnsi="Calibri" w:eastAsia="宋体" w:cs="Times New Roman"/>
      <w:sz w:val="24"/>
    </w:rPr>
  </w:style>
  <w:style w:type="character" w:customStyle="1" w:styleId="452">
    <w:name w:val="正文首行缩进 Char2"/>
    <w:qFormat/>
    <w:uiPriority w:val="0"/>
    <w:rPr>
      <w:rFonts w:ascii="Calibri" w:hAnsi="Calibri" w:eastAsia="宋体" w:cs="Times New Roman"/>
    </w:rPr>
  </w:style>
  <w:style w:type="paragraph" w:customStyle="1" w:styleId="453">
    <w:name w:val="z-Bottom of Form1"/>
    <w:basedOn w:val="1"/>
    <w:next w:val="1"/>
    <w:qFormat/>
    <w:uiPriority w:val="0"/>
    <w:pPr>
      <w:widowControl/>
      <w:pBdr>
        <w:top w:val="single" w:color="auto" w:sz="6" w:space="1"/>
      </w:pBdr>
      <w:jc w:val="center"/>
    </w:pPr>
    <w:rPr>
      <w:rFonts w:ascii="Arial" w:hAnsi="Arial" w:eastAsia="宋体" w:cs="Times New Roman"/>
      <w:vanish/>
      <w:kern w:val="0"/>
      <w:sz w:val="16"/>
      <w:szCs w:val="16"/>
    </w:rPr>
  </w:style>
  <w:style w:type="character" w:customStyle="1" w:styleId="454">
    <w:name w:val="批注引用10"/>
    <w:qFormat/>
    <w:uiPriority w:val="0"/>
    <w:rPr>
      <w:rFonts w:ascii="Calibri" w:hAnsi="Calibri" w:eastAsia="宋体" w:cs="Times New Roman"/>
      <w:sz w:val="21"/>
    </w:rPr>
  </w:style>
  <w:style w:type="character" w:customStyle="1" w:styleId="455">
    <w:name w:val="EmailStyle30"/>
    <w:qFormat/>
    <w:uiPriority w:val="0"/>
    <w:rPr>
      <w:rFonts w:ascii="Calibri" w:hAnsi="Calibri" w:eastAsia="宋体" w:cs="Times New Roman"/>
      <w:color w:val="000000"/>
    </w:rPr>
  </w:style>
  <w:style w:type="character" w:customStyle="1" w:styleId="456">
    <w:name w:val="批注引用5"/>
    <w:qFormat/>
    <w:uiPriority w:val="0"/>
    <w:rPr>
      <w:rFonts w:ascii="Calibri" w:hAnsi="Calibri" w:eastAsia="宋体" w:cs="Times New Roman"/>
      <w:sz w:val="21"/>
    </w:rPr>
  </w:style>
  <w:style w:type="character" w:customStyle="1" w:styleId="457">
    <w:name w:val="apple-style-span"/>
    <w:qFormat/>
    <w:uiPriority w:val="0"/>
    <w:rPr>
      <w:rFonts w:ascii="Calibri" w:hAnsi="Calibri" w:eastAsia="宋体" w:cs="Times New Roman"/>
    </w:rPr>
  </w:style>
  <w:style w:type="character" w:customStyle="1" w:styleId="458">
    <w:name w:val="无 A"/>
    <w:qFormat/>
    <w:uiPriority w:val="0"/>
    <w:rPr>
      <w:rFonts w:ascii="Calibri" w:hAnsi="Calibri" w:eastAsia="宋体" w:cs="Times New Roman"/>
      <w:lang w:val="en-US"/>
    </w:rPr>
  </w:style>
  <w:style w:type="character" w:customStyle="1" w:styleId="459">
    <w:name w:val="custbt1"/>
    <w:qFormat/>
    <w:uiPriority w:val="0"/>
    <w:rPr>
      <w:rFonts w:ascii="Calibri" w:hAnsi="Calibri" w:eastAsia="宋体" w:cs="Times New Roman"/>
      <w:color w:val="0066CC"/>
      <w:sz w:val="20"/>
    </w:rPr>
  </w:style>
  <w:style w:type="character" w:customStyle="1" w:styleId="460">
    <w:name w:val="日期 Char2"/>
    <w:qFormat/>
    <w:uiPriority w:val="0"/>
    <w:rPr>
      <w:rFonts w:ascii="Calibri" w:hAnsi="Calibri" w:eastAsia="宋体" w:cs="Times New Roman"/>
      <w:kern w:val="2"/>
      <w:sz w:val="21"/>
    </w:rPr>
  </w:style>
  <w:style w:type="character" w:customStyle="1" w:styleId="461">
    <w:name w:val="批注引用6"/>
    <w:qFormat/>
    <w:uiPriority w:val="0"/>
    <w:rPr>
      <w:rFonts w:ascii="Calibri" w:hAnsi="Calibri" w:eastAsia="宋体" w:cs="Times New Roman"/>
      <w:sz w:val="21"/>
    </w:rPr>
  </w:style>
  <w:style w:type="character" w:customStyle="1" w:styleId="462">
    <w:name w:val="font71"/>
    <w:qFormat/>
    <w:uiPriority w:val="0"/>
    <w:rPr>
      <w:rFonts w:hint="default" w:ascii="Times New Roman" w:hAnsi="Times New Roman" w:eastAsia="楷体_GB2312" w:cs="Times New Roman"/>
      <w:sz w:val="28"/>
      <w:szCs w:val="24"/>
    </w:rPr>
  </w:style>
  <w:style w:type="character" w:customStyle="1" w:styleId="463">
    <w:name w:val="正文首缩两字 Char1"/>
    <w:link w:val="464"/>
    <w:qFormat/>
    <w:uiPriority w:val="0"/>
    <w:rPr>
      <w:rFonts w:ascii="Verdana" w:hAnsi="Verdana"/>
      <w:sz w:val="24"/>
    </w:rPr>
  </w:style>
  <w:style w:type="paragraph" w:customStyle="1" w:styleId="464">
    <w:name w:val="正文首缩两字"/>
    <w:basedOn w:val="1"/>
    <w:link w:val="463"/>
    <w:qFormat/>
    <w:uiPriority w:val="0"/>
    <w:pPr>
      <w:spacing w:line="360" w:lineRule="auto"/>
      <w:ind w:firstLine="200" w:firstLineChars="200"/>
    </w:pPr>
    <w:rPr>
      <w:rFonts w:ascii="Verdana" w:hAnsi="Verdana" w:eastAsia="宋体" w:cs="Times New Roman"/>
      <w:kern w:val="0"/>
      <w:sz w:val="24"/>
      <w:szCs w:val="20"/>
    </w:rPr>
  </w:style>
  <w:style w:type="character" w:customStyle="1" w:styleId="465">
    <w:name w:val="ss"/>
    <w:qFormat/>
    <w:uiPriority w:val="0"/>
    <w:rPr>
      <w:rFonts w:ascii="Calibri" w:hAnsi="Calibri" w:eastAsia="宋体" w:cs="Times New Roman"/>
    </w:rPr>
  </w:style>
  <w:style w:type="character" w:customStyle="1" w:styleId="466">
    <w:name w:val="Char Char6"/>
    <w:qFormat/>
    <w:uiPriority w:val="0"/>
    <w:rPr>
      <w:rFonts w:ascii="Calibri" w:hAnsi="Calibri" w:eastAsia="宋体" w:cs="Times New Roman"/>
      <w:sz w:val="24"/>
    </w:rPr>
  </w:style>
  <w:style w:type="character" w:customStyle="1" w:styleId="467">
    <w:name w:val="批注文字 Char2"/>
    <w:qFormat/>
    <w:uiPriority w:val="0"/>
    <w:rPr>
      <w:rFonts w:ascii="Calibri" w:hAnsi="Calibri" w:eastAsia="宋体" w:cs="Times New Roman"/>
      <w:kern w:val="2"/>
      <w:sz w:val="21"/>
    </w:rPr>
  </w:style>
  <w:style w:type="character" w:customStyle="1" w:styleId="468">
    <w:name w:val="font_8"/>
    <w:qFormat/>
    <w:uiPriority w:val="0"/>
    <w:rPr>
      <w:rFonts w:ascii="Calibri" w:hAnsi="Calibri" w:eastAsia="宋体" w:cs="Times New Roman"/>
    </w:rPr>
  </w:style>
  <w:style w:type="character" w:customStyle="1" w:styleId="469">
    <w:name w:val="批注主题 Char2"/>
    <w:qFormat/>
    <w:uiPriority w:val="0"/>
    <w:rPr>
      <w:rFonts w:ascii="Calibri" w:hAnsi="Calibri" w:eastAsia="宋体" w:cs="Times New Roman"/>
      <w:b/>
      <w:kern w:val="2"/>
      <w:sz w:val="21"/>
    </w:rPr>
  </w:style>
  <w:style w:type="character" w:customStyle="1" w:styleId="470">
    <w:name w:val="Char Char Char Char Char"/>
    <w:qFormat/>
    <w:uiPriority w:val="0"/>
    <w:rPr>
      <w:rFonts w:ascii="宋体" w:hAnsi="Courier New" w:cs="Times New Roman"/>
    </w:rPr>
  </w:style>
  <w:style w:type="character" w:customStyle="1" w:styleId="471">
    <w:name w:val="一级条标题 Char"/>
    <w:link w:val="472"/>
    <w:qFormat/>
    <w:uiPriority w:val="0"/>
    <w:rPr>
      <w:rFonts w:ascii="黑体" w:eastAsia="黑体"/>
      <w:sz w:val="21"/>
    </w:rPr>
  </w:style>
  <w:style w:type="paragraph" w:customStyle="1" w:styleId="472">
    <w:name w:val="一级条标题"/>
    <w:basedOn w:val="1"/>
    <w:next w:val="396"/>
    <w:link w:val="471"/>
    <w:qFormat/>
    <w:uiPriority w:val="0"/>
    <w:pPr>
      <w:widowControl/>
      <w:tabs>
        <w:tab w:val="left" w:pos="1200"/>
      </w:tabs>
      <w:ind w:left="1200" w:hanging="420"/>
      <w:outlineLvl w:val="2"/>
    </w:pPr>
    <w:rPr>
      <w:rFonts w:ascii="黑体" w:hAnsi="Times New Roman" w:eastAsia="黑体" w:cs="Times New Roman"/>
      <w:kern w:val="0"/>
      <w:szCs w:val="20"/>
    </w:rPr>
  </w:style>
  <w:style w:type="character" w:customStyle="1" w:styleId="473">
    <w:name w:val="标题 Char3"/>
    <w:qFormat/>
    <w:uiPriority w:val="0"/>
    <w:rPr>
      <w:rFonts w:ascii="Cambria" w:hAnsi="Cambria" w:eastAsia="宋体" w:cs="黑体"/>
      <w:b/>
      <w:bCs/>
      <w:sz w:val="32"/>
      <w:szCs w:val="32"/>
    </w:rPr>
  </w:style>
  <w:style w:type="character" w:customStyle="1" w:styleId="474">
    <w:name w:val="List Paragraph Char Char"/>
    <w:qFormat/>
    <w:locked/>
    <w:uiPriority w:val="0"/>
    <w:rPr>
      <w:rFonts w:ascii="宋体" w:hAnsi="宋体" w:cs="Times New Roman"/>
      <w:kern w:val="2"/>
      <w:sz w:val="21"/>
      <w:szCs w:val="24"/>
    </w:rPr>
  </w:style>
  <w:style w:type="character" w:customStyle="1" w:styleId="475">
    <w:name w:val="wz1"/>
    <w:qFormat/>
    <w:uiPriority w:val="0"/>
    <w:rPr>
      <w:rFonts w:ascii="Calibri" w:hAnsi="Calibri" w:eastAsia="宋体" w:cs="Times New Roman"/>
      <w:color w:val="5A5A5A"/>
      <w:sz w:val="18"/>
      <w:u w:val="none"/>
    </w:rPr>
  </w:style>
  <w:style w:type="character" w:customStyle="1" w:styleId="476">
    <w:name w:val="aa1"/>
    <w:qFormat/>
    <w:uiPriority w:val="0"/>
    <w:rPr>
      <w:rFonts w:ascii="Calibri" w:hAnsi="Calibri" w:eastAsia="宋体" w:cs="Times New Roman"/>
      <w:sz w:val="20"/>
      <w:u w:val="none"/>
    </w:rPr>
  </w:style>
  <w:style w:type="character" w:customStyle="1" w:styleId="477">
    <w:name w:val="style14"/>
    <w:qFormat/>
    <w:uiPriority w:val="0"/>
    <w:rPr>
      <w:rFonts w:ascii="Calibri" w:hAnsi="Calibri" w:eastAsia="宋体" w:cs="Times New Roman"/>
    </w:rPr>
  </w:style>
  <w:style w:type="character" w:customStyle="1" w:styleId="478">
    <w:name w:val="正文首行缩进 Char1"/>
    <w:qFormat/>
    <w:uiPriority w:val="0"/>
    <w:rPr>
      <w:rFonts w:ascii="Calibri" w:hAnsi="Calibri" w:eastAsia="宋体" w:cs="Times New Roman"/>
      <w:kern w:val="2"/>
      <w:sz w:val="22"/>
      <w:lang w:val="en-US" w:eastAsia="zh-CN"/>
    </w:rPr>
  </w:style>
  <w:style w:type="character" w:customStyle="1" w:styleId="479">
    <w:name w:val="正文文本 2 Char2"/>
    <w:qFormat/>
    <w:uiPriority w:val="0"/>
    <w:rPr>
      <w:rFonts w:ascii="Calibri" w:hAnsi="Calibri" w:eastAsia="宋体" w:cs="Times New Roman"/>
      <w:kern w:val="2"/>
      <w:sz w:val="21"/>
    </w:rPr>
  </w:style>
  <w:style w:type="paragraph" w:customStyle="1" w:styleId="480">
    <w:name w:val="z-Top of Form1"/>
    <w:basedOn w:val="1"/>
    <w:next w:val="1"/>
    <w:qFormat/>
    <w:uiPriority w:val="0"/>
    <w:pPr>
      <w:widowControl/>
      <w:pBdr>
        <w:bottom w:val="single" w:color="auto" w:sz="6" w:space="1"/>
      </w:pBdr>
      <w:jc w:val="center"/>
    </w:pPr>
    <w:rPr>
      <w:rFonts w:ascii="Arial" w:hAnsi="Arial" w:eastAsia="宋体" w:cs="Times New Roman"/>
      <w:vanish/>
      <w:kern w:val="0"/>
      <w:sz w:val="16"/>
      <w:szCs w:val="16"/>
    </w:rPr>
  </w:style>
  <w:style w:type="character" w:customStyle="1" w:styleId="481">
    <w:name w:val="Char Char5"/>
    <w:qFormat/>
    <w:uiPriority w:val="0"/>
    <w:rPr>
      <w:rFonts w:ascii="Calibri" w:hAnsi="Calibri" w:eastAsia="宋体" w:cs="Times New Roman"/>
      <w:sz w:val="18"/>
    </w:rPr>
  </w:style>
  <w:style w:type="character" w:customStyle="1" w:styleId="482">
    <w:name w:val="正文2 Char Char Char"/>
    <w:qFormat/>
    <w:uiPriority w:val="0"/>
    <w:rPr>
      <w:rFonts w:ascii="Calibri" w:hAnsi="Calibri" w:eastAsia="宋体" w:cs="Times New Roman"/>
      <w:kern w:val="2"/>
      <w:sz w:val="24"/>
      <w:lang w:val="en-US" w:eastAsia="zh-CN"/>
    </w:rPr>
  </w:style>
  <w:style w:type="character" w:customStyle="1" w:styleId="483">
    <w:name w:val="标题 1 Char1"/>
    <w:qFormat/>
    <w:uiPriority w:val="0"/>
    <w:rPr>
      <w:rFonts w:ascii="仿宋_GB2312" w:hAnsi="Calibri" w:eastAsia="仿宋_GB2312" w:cs="Times New Roman"/>
      <w:b/>
      <w:color w:val="000000"/>
      <w:kern w:val="2"/>
      <w:sz w:val="36"/>
    </w:rPr>
  </w:style>
  <w:style w:type="character" w:customStyle="1" w:styleId="484">
    <w:name w:val="批注引用4"/>
    <w:qFormat/>
    <w:uiPriority w:val="0"/>
    <w:rPr>
      <w:rFonts w:ascii="Calibri" w:hAnsi="Calibri" w:eastAsia="宋体" w:cs="Times New Roman"/>
      <w:sz w:val="21"/>
    </w:rPr>
  </w:style>
  <w:style w:type="character" w:customStyle="1" w:styleId="485">
    <w:name w:val="style141"/>
    <w:qFormat/>
    <w:uiPriority w:val="0"/>
    <w:rPr>
      <w:rFonts w:ascii="Calibri" w:hAnsi="Calibri" w:eastAsia="宋体" w:cs="Times New Roman"/>
    </w:rPr>
  </w:style>
  <w:style w:type="character" w:customStyle="1" w:styleId="486">
    <w:name w:val="文档结构图 Char2"/>
    <w:qFormat/>
    <w:uiPriority w:val="0"/>
    <w:rPr>
      <w:rFonts w:ascii="宋体" w:hAnsi="Calibri" w:eastAsia="宋体" w:cs="Times New Roman"/>
      <w:kern w:val="2"/>
      <w:sz w:val="18"/>
    </w:rPr>
  </w:style>
  <w:style w:type="character" w:customStyle="1" w:styleId="487">
    <w:name w:val="批注框文本 Char2"/>
    <w:qFormat/>
    <w:uiPriority w:val="0"/>
    <w:rPr>
      <w:rFonts w:ascii="Calibri" w:hAnsi="Calibri" w:eastAsia="宋体" w:cs="Times New Roman"/>
      <w:kern w:val="2"/>
      <w:sz w:val="18"/>
    </w:rPr>
  </w:style>
  <w:style w:type="character" w:customStyle="1" w:styleId="488">
    <w:name w:val="font61"/>
    <w:basedOn w:val="70"/>
    <w:qFormat/>
    <w:uiPriority w:val="0"/>
    <w:rPr>
      <w:rFonts w:ascii="Arial" w:hAnsi="Arial" w:eastAsia="宋体" w:cs="Arial"/>
      <w:color w:val="000000"/>
      <w:sz w:val="20"/>
      <w:szCs w:val="20"/>
      <w:u w:val="none"/>
    </w:rPr>
  </w:style>
  <w:style w:type="character" w:customStyle="1" w:styleId="489">
    <w:name w:val="fontblank12"/>
    <w:qFormat/>
    <w:uiPriority w:val="0"/>
    <w:rPr>
      <w:rFonts w:ascii="Calibri" w:hAnsi="Calibri" w:eastAsia="宋体" w:cs="Times New Roman"/>
    </w:rPr>
  </w:style>
  <w:style w:type="character" w:customStyle="1" w:styleId="490">
    <w:name w:val="标题 9 Char1"/>
    <w:qFormat/>
    <w:uiPriority w:val="0"/>
    <w:rPr>
      <w:rFonts w:ascii="Arial" w:hAnsi="Arial" w:eastAsia="黑体" w:cs="Times New Roman"/>
      <w:kern w:val="2"/>
      <w:sz w:val="21"/>
    </w:rPr>
  </w:style>
  <w:style w:type="character" w:customStyle="1" w:styleId="491">
    <w:name w:val="high-light-bg4"/>
    <w:qFormat/>
    <w:uiPriority w:val="0"/>
    <w:rPr>
      <w:rFonts w:ascii="Calibri" w:hAnsi="Calibri" w:eastAsia="宋体" w:cs="Times New Roman"/>
    </w:rPr>
  </w:style>
  <w:style w:type="character" w:customStyle="1" w:styleId="492">
    <w:name w:val="正文文本 3 Char2"/>
    <w:qFormat/>
    <w:uiPriority w:val="0"/>
    <w:rPr>
      <w:rFonts w:ascii="Calibri" w:hAnsi="Calibri" w:eastAsia="宋体" w:cs="Times New Roman"/>
      <w:kern w:val="2"/>
      <w:sz w:val="16"/>
    </w:rPr>
  </w:style>
  <w:style w:type="character" w:customStyle="1" w:styleId="493">
    <w:name w:val="正文缩进 Char1"/>
    <w:qFormat/>
    <w:uiPriority w:val="0"/>
    <w:rPr>
      <w:rFonts w:ascii="Calibri" w:hAnsi="Calibri" w:eastAsia="宋体" w:cs="Times New Roman"/>
      <w:kern w:val="2"/>
      <w:sz w:val="21"/>
    </w:rPr>
  </w:style>
  <w:style w:type="character" w:customStyle="1" w:styleId="494">
    <w:name w:val="批注引用1"/>
    <w:qFormat/>
    <w:uiPriority w:val="0"/>
    <w:rPr>
      <w:rFonts w:ascii="Calibri" w:hAnsi="Calibri" w:eastAsia="宋体" w:cs="Times New Roman"/>
      <w:sz w:val="21"/>
      <w:szCs w:val="21"/>
    </w:rPr>
  </w:style>
  <w:style w:type="character" w:customStyle="1" w:styleId="495">
    <w:name w:val="正文文本 2 Char"/>
    <w:qFormat/>
    <w:uiPriority w:val="0"/>
    <w:rPr>
      <w:rFonts w:ascii="Times New Roman" w:hAnsi="Times New Roman" w:eastAsia="宋体" w:cs="Times New Roman"/>
      <w:kern w:val="2"/>
      <w:sz w:val="21"/>
      <w:szCs w:val="24"/>
    </w:rPr>
  </w:style>
  <w:style w:type="character" w:customStyle="1" w:styleId="496">
    <w:name w:val="Table Text Char Char"/>
    <w:link w:val="497"/>
    <w:qFormat/>
    <w:uiPriority w:val="0"/>
    <w:rPr>
      <w:rFonts w:ascii="Arial" w:hAnsi="Arial"/>
      <w:sz w:val="18"/>
    </w:rPr>
  </w:style>
  <w:style w:type="paragraph" w:customStyle="1" w:styleId="497">
    <w:name w:val="Table Text"/>
    <w:link w:val="496"/>
    <w:qFormat/>
    <w:uiPriority w:val="0"/>
    <w:pPr>
      <w:snapToGrid w:val="0"/>
      <w:spacing w:before="80" w:after="80"/>
    </w:pPr>
    <w:rPr>
      <w:rFonts w:ascii="Arial" w:hAnsi="Arial" w:eastAsia="宋体" w:cs="Times New Roman"/>
      <w:sz w:val="18"/>
      <w:lang w:val="en-US" w:eastAsia="zh-CN" w:bidi="ar-SA"/>
    </w:rPr>
  </w:style>
  <w:style w:type="character" w:customStyle="1" w:styleId="498">
    <w:name w:val="批注文字 Char3"/>
    <w:qFormat/>
    <w:uiPriority w:val="0"/>
    <w:rPr>
      <w:rFonts w:ascii="Times New Roman" w:hAnsi="Times New Roman" w:eastAsia="宋体" w:cs="Times New Roman"/>
      <w:sz w:val="20"/>
      <w:szCs w:val="20"/>
    </w:rPr>
  </w:style>
  <w:style w:type="character" w:customStyle="1" w:styleId="499">
    <w:name w:val="普通文字 Char2"/>
    <w:qFormat/>
    <w:uiPriority w:val="0"/>
    <w:rPr>
      <w:rFonts w:ascii="宋体" w:hAnsi="Courier New" w:eastAsia="宋体" w:cs="Times New Roman"/>
      <w:kern w:val="2"/>
      <w:sz w:val="21"/>
      <w:lang w:val="en-US" w:eastAsia="zh-CN"/>
    </w:rPr>
  </w:style>
  <w:style w:type="character" w:customStyle="1" w:styleId="500">
    <w:name w:val="正文文本 3 Char"/>
    <w:qFormat/>
    <w:uiPriority w:val="0"/>
    <w:rPr>
      <w:rFonts w:ascii="Times New Roman" w:hAnsi="Times New Roman" w:eastAsia="宋体" w:cs="Times New Roman"/>
      <w:kern w:val="2"/>
      <w:sz w:val="16"/>
      <w:szCs w:val="16"/>
    </w:rPr>
  </w:style>
  <w:style w:type="character" w:customStyle="1" w:styleId="501">
    <w:name w:val="HTML 预设格式 Char"/>
    <w:qFormat/>
    <w:uiPriority w:val="0"/>
    <w:rPr>
      <w:rFonts w:ascii="Courier New" w:hAnsi="Courier New" w:eastAsia="宋体" w:cs="Courier New"/>
      <w:kern w:val="2"/>
    </w:rPr>
  </w:style>
  <w:style w:type="character" w:customStyle="1" w:styleId="502">
    <w:name w:val="页眉 Char1"/>
    <w:qFormat/>
    <w:uiPriority w:val="0"/>
    <w:rPr>
      <w:rFonts w:ascii="Calibri" w:hAnsi="Calibri" w:eastAsia="宋体" w:cs="Times New Roman"/>
      <w:kern w:val="2"/>
      <w:sz w:val="18"/>
    </w:rPr>
  </w:style>
  <w:style w:type="character" w:customStyle="1" w:styleId="503">
    <w:name w:val="标题 8 Char1"/>
    <w:qFormat/>
    <w:uiPriority w:val="0"/>
    <w:rPr>
      <w:rFonts w:ascii="Arial" w:hAnsi="Arial" w:eastAsia="黑体" w:cs="Times New Roman"/>
      <w:kern w:val="2"/>
      <w:sz w:val="24"/>
    </w:rPr>
  </w:style>
  <w:style w:type="character" w:customStyle="1" w:styleId="504">
    <w:name w:val="Char Char8"/>
    <w:qFormat/>
    <w:uiPriority w:val="0"/>
    <w:rPr>
      <w:rFonts w:ascii="Calibri" w:hAnsi="Calibri" w:eastAsia="仿宋_GB2312" w:cs="Times New Roman"/>
      <w:b/>
      <w:kern w:val="2"/>
      <w:sz w:val="32"/>
    </w:rPr>
  </w:style>
  <w:style w:type="character" w:customStyle="1" w:styleId="505">
    <w:name w:val="正文文本缩进 3 Char2"/>
    <w:qFormat/>
    <w:uiPriority w:val="0"/>
    <w:rPr>
      <w:rFonts w:ascii="Calibri" w:hAnsi="Calibri" w:eastAsia="宋体" w:cs="Times New Roman"/>
      <w:kern w:val="2"/>
      <w:sz w:val="16"/>
    </w:rPr>
  </w:style>
  <w:style w:type="character" w:customStyle="1" w:styleId="506">
    <w:name w:val="◆ 二级符号end Char Char"/>
    <w:link w:val="507"/>
    <w:qFormat/>
    <w:uiPriority w:val="0"/>
    <w:rPr>
      <w:rFonts w:ascii="Verdana" w:hAnsi="Verdana"/>
      <w:sz w:val="24"/>
    </w:rPr>
  </w:style>
  <w:style w:type="paragraph" w:customStyle="1" w:styleId="507">
    <w:name w:val="◆ 二级符号end"/>
    <w:basedOn w:val="1"/>
    <w:link w:val="506"/>
    <w:qFormat/>
    <w:uiPriority w:val="0"/>
    <w:pPr>
      <w:tabs>
        <w:tab w:val="left" w:pos="1320"/>
      </w:tabs>
      <w:spacing w:line="360" w:lineRule="auto"/>
      <w:ind w:left="1320" w:hanging="420"/>
    </w:pPr>
    <w:rPr>
      <w:rFonts w:ascii="Verdana" w:hAnsi="Verdana" w:eastAsia="宋体" w:cs="Times New Roman"/>
      <w:kern w:val="0"/>
      <w:sz w:val="24"/>
      <w:szCs w:val="20"/>
    </w:rPr>
  </w:style>
  <w:style w:type="character" w:customStyle="1" w:styleId="508">
    <w:name w:val="正文文本 Char2"/>
    <w:qFormat/>
    <w:uiPriority w:val="0"/>
    <w:rPr>
      <w:rFonts w:ascii="Calibri" w:hAnsi="Calibri" w:eastAsia="宋体" w:cs="Times New Roman"/>
      <w:kern w:val="2"/>
      <w:sz w:val="21"/>
    </w:rPr>
  </w:style>
  <w:style w:type="character" w:customStyle="1" w:styleId="509">
    <w:name w:val="批注引用11"/>
    <w:qFormat/>
    <w:uiPriority w:val="0"/>
    <w:rPr>
      <w:rFonts w:ascii="Calibri" w:hAnsi="Calibri" w:eastAsia="宋体" w:cs="Times New Roman"/>
      <w:sz w:val="21"/>
    </w:rPr>
  </w:style>
  <w:style w:type="character" w:customStyle="1" w:styleId="510">
    <w:name w:val="标题 5 Char1"/>
    <w:qFormat/>
    <w:uiPriority w:val="0"/>
    <w:rPr>
      <w:rFonts w:ascii="Calibri" w:hAnsi="Calibri" w:eastAsia="宋体" w:cs="Times New Roman"/>
      <w:b/>
      <w:kern w:val="2"/>
      <w:sz w:val="28"/>
    </w:rPr>
  </w:style>
  <w:style w:type="character" w:customStyle="1" w:styleId="511">
    <w:name w:val="批注引用9"/>
    <w:qFormat/>
    <w:uiPriority w:val="0"/>
    <w:rPr>
      <w:rFonts w:ascii="Calibri" w:hAnsi="Calibri" w:eastAsia="宋体" w:cs="Times New Roman"/>
      <w:sz w:val="21"/>
    </w:rPr>
  </w:style>
  <w:style w:type="character" w:customStyle="1" w:styleId="512">
    <w:name w:val="标题 7 Char1"/>
    <w:qFormat/>
    <w:uiPriority w:val="0"/>
    <w:rPr>
      <w:rFonts w:ascii="Calibri" w:hAnsi="Calibri" w:eastAsia="宋体" w:cs="Times New Roman"/>
      <w:b/>
      <w:kern w:val="2"/>
      <w:sz w:val="24"/>
    </w:rPr>
  </w:style>
  <w:style w:type="character" w:customStyle="1" w:styleId="513">
    <w:name w:val="SANGFOR_6_正文 Char"/>
    <w:link w:val="514"/>
    <w:qFormat/>
    <w:uiPriority w:val="0"/>
    <w:rPr>
      <w:rFonts w:ascii="宋体" w:hAnsi="宋体"/>
      <w:sz w:val="28"/>
      <w:szCs w:val="28"/>
    </w:rPr>
  </w:style>
  <w:style w:type="paragraph" w:customStyle="1" w:styleId="514">
    <w:name w:val="SANGFOR_6_正文"/>
    <w:basedOn w:val="1"/>
    <w:link w:val="513"/>
    <w:qFormat/>
    <w:uiPriority w:val="0"/>
    <w:pPr>
      <w:spacing w:line="360" w:lineRule="auto"/>
      <w:ind w:left="420"/>
      <w:jc w:val="left"/>
    </w:pPr>
    <w:rPr>
      <w:rFonts w:ascii="宋体" w:hAnsi="宋体" w:eastAsia="宋体" w:cs="Times New Roman"/>
      <w:kern w:val="0"/>
      <w:sz w:val="28"/>
      <w:szCs w:val="28"/>
    </w:rPr>
  </w:style>
  <w:style w:type="character" w:customStyle="1" w:styleId="515">
    <w:name w:val="标题 3 Char1"/>
    <w:qFormat/>
    <w:uiPriority w:val="0"/>
    <w:rPr>
      <w:rFonts w:ascii="Calibri" w:hAnsi="Calibri" w:eastAsia="宋体" w:cs="Times New Roman"/>
      <w:b/>
      <w:kern w:val="2"/>
      <w:sz w:val="32"/>
    </w:rPr>
  </w:style>
  <w:style w:type="character" w:customStyle="1" w:styleId="516">
    <w:name w:val="页脚 Char1"/>
    <w:qFormat/>
    <w:uiPriority w:val="0"/>
    <w:rPr>
      <w:rFonts w:ascii="Calibri" w:hAnsi="Calibri" w:eastAsia="宋体" w:cs="Times New Roman"/>
      <w:kern w:val="2"/>
      <w:sz w:val="18"/>
    </w:rPr>
  </w:style>
  <w:style w:type="character" w:customStyle="1" w:styleId="517">
    <w:name w:val="页脚 Char2"/>
    <w:qFormat/>
    <w:uiPriority w:val="0"/>
    <w:rPr>
      <w:rFonts w:ascii="Calibri" w:hAnsi="Calibri" w:eastAsia="宋体" w:cs="Times New Roman"/>
      <w:kern w:val="2"/>
      <w:sz w:val="18"/>
    </w:rPr>
  </w:style>
  <w:style w:type="character" w:customStyle="1" w:styleId="518">
    <w:name w:val="正文1 Char"/>
    <w:link w:val="171"/>
    <w:qFormat/>
    <w:uiPriority w:val="0"/>
    <w:rPr>
      <w:rFonts w:ascii="Calibri" w:hAnsi="Calibri" w:cs="Calibri"/>
      <w:kern w:val="2"/>
      <w:sz w:val="21"/>
      <w:szCs w:val="21"/>
    </w:rPr>
  </w:style>
  <w:style w:type="character" w:customStyle="1" w:styleId="519">
    <w:name w:val="批注引用2"/>
    <w:qFormat/>
    <w:uiPriority w:val="0"/>
    <w:rPr>
      <w:rFonts w:ascii="Calibri" w:hAnsi="Calibri" w:eastAsia="宋体" w:cs="Times New Roman"/>
      <w:sz w:val="21"/>
    </w:rPr>
  </w:style>
  <w:style w:type="character" w:customStyle="1" w:styleId="520">
    <w:name w:val="标题 Char2"/>
    <w:qFormat/>
    <w:uiPriority w:val="0"/>
    <w:rPr>
      <w:rFonts w:ascii="Cambria" w:hAnsi="Cambria" w:eastAsia="宋体" w:cs="Times New Roman"/>
      <w:b/>
      <w:kern w:val="2"/>
      <w:sz w:val="32"/>
    </w:rPr>
  </w:style>
  <w:style w:type="character" w:customStyle="1" w:styleId="521">
    <w:name w:val="c1"/>
    <w:qFormat/>
    <w:uiPriority w:val="0"/>
    <w:rPr>
      <w:rFonts w:ascii="Calibri" w:hAnsi="Calibri" w:eastAsia="宋体" w:cs="Times New Roman"/>
      <w:sz w:val="24"/>
    </w:rPr>
  </w:style>
  <w:style w:type="character" w:customStyle="1" w:styleId="522">
    <w:name w:val="font121"/>
    <w:qFormat/>
    <w:uiPriority w:val="0"/>
    <w:rPr>
      <w:rFonts w:hint="default" w:ascii="???" w:hAnsi="???" w:eastAsia="宋体" w:cs="Times New Roman"/>
      <w:color w:val="333333"/>
      <w:sz w:val="18"/>
      <w:szCs w:val="18"/>
      <w:u w:val="none"/>
    </w:rPr>
  </w:style>
  <w:style w:type="character" w:customStyle="1" w:styleId="523">
    <w:name w:val="标准文本 Char Char"/>
    <w:link w:val="524"/>
    <w:qFormat/>
    <w:uiPriority w:val="0"/>
  </w:style>
  <w:style w:type="paragraph" w:customStyle="1" w:styleId="524">
    <w:name w:val="标准文本"/>
    <w:basedOn w:val="1"/>
    <w:link w:val="523"/>
    <w:qFormat/>
    <w:uiPriority w:val="0"/>
    <w:pPr>
      <w:spacing w:line="360" w:lineRule="auto"/>
      <w:ind w:firstLine="480" w:firstLineChars="200"/>
    </w:pPr>
    <w:rPr>
      <w:rFonts w:ascii="Times New Roman" w:hAnsi="Times New Roman" w:eastAsia="宋体" w:cs="Times New Roman"/>
      <w:kern w:val="0"/>
      <w:sz w:val="20"/>
      <w:szCs w:val="20"/>
    </w:rPr>
  </w:style>
  <w:style w:type="character" w:customStyle="1" w:styleId="525">
    <w:name w:val="尾注文本 Char"/>
    <w:qFormat/>
    <w:uiPriority w:val="0"/>
    <w:rPr>
      <w:rFonts w:ascii="Times New Roman" w:hAnsi="Times New Roman" w:eastAsia="宋体" w:cs="Times New Roman"/>
      <w:kern w:val="2"/>
      <w:sz w:val="21"/>
      <w:szCs w:val="24"/>
    </w:rPr>
  </w:style>
  <w:style w:type="character" w:customStyle="1" w:styleId="526">
    <w:name w:val="标题 4 Char1"/>
    <w:qFormat/>
    <w:uiPriority w:val="0"/>
    <w:rPr>
      <w:rFonts w:ascii="Arial" w:hAnsi="Arial" w:eastAsia="黑体" w:cs="Times New Roman"/>
      <w:b/>
      <w:kern w:val="2"/>
      <w:sz w:val="28"/>
    </w:rPr>
  </w:style>
  <w:style w:type="character" w:customStyle="1" w:styleId="527">
    <w:name w:val="批注文字 Char4"/>
    <w:qFormat/>
    <w:uiPriority w:val="0"/>
    <w:rPr>
      <w:rFonts w:ascii="Times New Roman" w:hAnsi="Times New Roman" w:eastAsia="宋体" w:cs="Times New Roman"/>
      <w:szCs w:val="20"/>
    </w:rPr>
  </w:style>
  <w:style w:type="character" w:customStyle="1" w:styleId="528">
    <w:name w:val="批注引用8"/>
    <w:qFormat/>
    <w:uiPriority w:val="0"/>
    <w:rPr>
      <w:rFonts w:ascii="Calibri" w:hAnsi="Calibri" w:eastAsia="宋体" w:cs="Times New Roman"/>
      <w:sz w:val="21"/>
    </w:rPr>
  </w:style>
  <w:style w:type="character" w:customStyle="1" w:styleId="529">
    <w:name w:val="彩色列表 - 强调文字颜色 1 Char"/>
    <w:link w:val="192"/>
    <w:qFormat/>
    <w:uiPriority w:val="0"/>
    <w:rPr>
      <w:rFonts w:ascii="Calibri" w:hAnsi="Calibri"/>
      <w:kern w:val="2"/>
      <w:sz w:val="21"/>
      <w:szCs w:val="22"/>
    </w:rPr>
  </w:style>
  <w:style w:type="character" w:customStyle="1" w:styleId="530">
    <w:name w:val="DH 正文 Char"/>
    <w:link w:val="531"/>
    <w:qFormat/>
    <w:uiPriority w:val="0"/>
    <w:rPr>
      <w:rFonts w:ascii="宋体"/>
      <w:kern w:val="2"/>
      <w:sz w:val="24"/>
      <w:szCs w:val="24"/>
    </w:rPr>
  </w:style>
  <w:style w:type="paragraph" w:customStyle="1" w:styleId="531">
    <w:name w:val="DH 正文"/>
    <w:basedOn w:val="1"/>
    <w:link w:val="530"/>
    <w:qFormat/>
    <w:uiPriority w:val="0"/>
    <w:pPr>
      <w:spacing w:line="360" w:lineRule="auto"/>
      <w:ind w:firstLine="200" w:firstLineChars="200"/>
    </w:pPr>
    <w:rPr>
      <w:rFonts w:ascii="宋体" w:hAnsi="Times New Roman" w:eastAsia="宋体" w:cs="Times New Roman"/>
      <w:sz w:val="24"/>
      <w:szCs w:val="24"/>
    </w:rPr>
  </w:style>
  <w:style w:type="character" w:customStyle="1" w:styleId="532">
    <w:name w:val="unnamed21"/>
    <w:qFormat/>
    <w:uiPriority w:val="0"/>
    <w:rPr>
      <w:rFonts w:ascii="Calibri" w:hAnsi="Calibri" w:eastAsia="宋体" w:cs="Times New Roman"/>
      <w:color w:val="000000"/>
      <w:sz w:val="20"/>
    </w:rPr>
  </w:style>
  <w:style w:type="character" w:customStyle="1" w:styleId="533">
    <w:name w:val="news1"/>
    <w:qFormat/>
    <w:uiPriority w:val="0"/>
    <w:rPr>
      <w:rFonts w:ascii="Calibri" w:hAnsi="Calibri" w:eastAsia="宋体" w:cs="Times New Roman"/>
      <w:color w:val="4D4D4D"/>
      <w:sz w:val="18"/>
    </w:rPr>
  </w:style>
  <w:style w:type="character" w:customStyle="1" w:styleId="534">
    <w:name w:val="批注引用7"/>
    <w:qFormat/>
    <w:uiPriority w:val="0"/>
    <w:rPr>
      <w:rFonts w:ascii="Calibri" w:hAnsi="Calibri" w:eastAsia="宋体" w:cs="Times New Roman"/>
      <w:sz w:val="21"/>
    </w:rPr>
  </w:style>
  <w:style w:type="character" w:customStyle="1" w:styleId="535">
    <w:name w:val="line1"/>
    <w:qFormat/>
    <w:uiPriority w:val="0"/>
    <w:rPr>
      <w:rFonts w:ascii="Calibri" w:hAnsi="Calibri" w:eastAsia="宋体" w:cs="Times New Roman"/>
    </w:rPr>
  </w:style>
  <w:style w:type="character" w:customStyle="1" w:styleId="536">
    <w:name w:val="Char Char4"/>
    <w:qFormat/>
    <w:uiPriority w:val="0"/>
    <w:rPr>
      <w:rFonts w:ascii="Calibri" w:hAnsi="Calibri" w:eastAsia="宋体" w:cs="Times New Roman"/>
      <w:sz w:val="18"/>
    </w:rPr>
  </w:style>
  <w:style w:type="character" w:customStyle="1" w:styleId="537">
    <w:name w:val="批注引用3"/>
    <w:qFormat/>
    <w:uiPriority w:val="0"/>
    <w:rPr>
      <w:rFonts w:ascii="Calibri" w:hAnsi="Calibri" w:eastAsia="宋体" w:cs="Times New Roman"/>
      <w:sz w:val="21"/>
      <w:szCs w:val="21"/>
    </w:rPr>
  </w:style>
  <w:style w:type="character" w:customStyle="1" w:styleId="538">
    <w:name w:val="样式 8 磅"/>
    <w:qFormat/>
    <w:uiPriority w:val="0"/>
    <w:rPr>
      <w:rFonts w:ascii="Calibri" w:hAnsi="Calibri" w:eastAsia="宋体" w:cs="Times New Roman"/>
      <w:sz w:val="18"/>
    </w:rPr>
  </w:style>
  <w:style w:type="paragraph" w:customStyle="1" w:styleId="539">
    <w:name w:val="Char Char1 Char Char Char Char Char Char Char"/>
    <w:basedOn w:val="1"/>
    <w:qFormat/>
    <w:uiPriority w:val="0"/>
    <w:rPr>
      <w:rFonts w:ascii="Calibri" w:hAnsi="Calibri" w:eastAsia="宋体" w:cs="Times New Roman"/>
      <w:szCs w:val="24"/>
    </w:rPr>
  </w:style>
  <w:style w:type="paragraph" w:customStyle="1" w:styleId="540">
    <w:name w:val="默认段落字体 Para Char Char Char Char"/>
    <w:basedOn w:val="1"/>
    <w:qFormat/>
    <w:uiPriority w:val="0"/>
    <w:pPr>
      <w:widowControl/>
      <w:jc w:val="left"/>
    </w:pPr>
    <w:rPr>
      <w:rFonts w:ascii="Calibri" w:hAnsi="Calibri" w:eastAsia="宋体" w:cs="Times New Roman"/>
      <w:szCs w:val="24"/>
    </w:rPr>
  </w:style>
  <w:style w:type="paragraph" w:customStyle="1" w:styleId="541">
    <w:name w:val="xl60"/>
    <w:basedOn w:val="1"/>
    <w:qFormat/>
    <w:uiPriority w:val="0"/>
    <w:pPr>
      <w:widowControl/>
      <w:pBdr>
        <w:top w:val="single" w:color="auto" w:sz="4" w:space="0"/>
        <w:bottom w:val="single" w:color="auto" w:sz="8" w:space="0"/>
      </w:pBdr>
      <w:spacing w:before="100" w:beforeAutospacing="1" w:after="100" w:afterAutospacing="1"/>
      <w:jc w:val="center"/>
    </w:pPr>
    <w:rPr>
      <w:rFonts w:ascii="Arial Unicode MS" w:hAnsi="Arial Unicode MS" w:eastAsia="宋体" w:cs="Times New Roman"/>
      <w:kern w:val="0"/>
      <w:sz w:val="24"/>
      <w:szCs w:val="24"/>
    </w:rPr>
  </w:style>
  <w:style w:type="paragraph" w:customStyle="1" w:styleId="542">
    <w:name w:val="Char Char Char Char Char Char Char Char Char1 Char"/>
    <w:basedOn w:val="1"/>
    <w:qFormat/>
    <w:uiPriority w:val="0"/>
    <w:pPr>
      <w:widowControl/>
      <w:jc w:val="left"/>
    </w:pPr>
    <w:rPr>
      <w:rFonts w:ascii="仿宋_GB2312" w:hAnsi="Calibri" w:eastAsia="仿宋_GB2312" w:cs="Times New Roman"/>
      <w:b/>
      <w:sz w:val="32"/>
      <w:szCs w:val="32"/>
    </w:rPr>
  </w:style>
  <w:style w:type="paragraph" w:customStyle="1" w:styleId="543">
    <w:name w:val="普通(网站)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44">
    <w:name w:val="L正文"/>
    <w:basedOn w:val="1"/>
    <w:qFormat/>
    <w:uiPriority w:val="0"/>
    <w:pPr>
      <w:spacing w:afterLines="50"/>
      <w:ind w:left="160" w:leftChars="160" w:firstLine="200" w:firstLineChars="200"/>
    </w:pPr>
    <w:rPr>
      <w:rFonts w:ascii="Calibri" w:hAnsi="Calibri" w:eastAsia="宋体" w:cs="Times New Roman"/>
      <w:b/>
      <w:szCs w:val="24"/>
    </w:rPr>
  </w:style>
  <w:style w:type="paragraph" w:customStyle="1" w:styleId="545">
    <w:name w:val="xl3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546">
    <w:name w:val="需求正文"/>
    <w:basedOn w:val="1"/>
    <w:qFormat/>
    <w:uiPriority w:val="0"/>
    <w:pPr>
      <w:widowControl/>
      <w:spacing w:line="300" w:lineRule="auto"/>
      <w:ind w:firstLine="560" w:firstLineChars="200"/>
      <w:jc w:val="left"/>
    </w:pPr>
    <w:rPr>
      <w:rFonts w:ascii="Arial" w:hAnsi="Arial" w:eastAsia="仿宋_GB2312" w:cs="Times New Roman"/>
      <w:sz w:val="28"/>
      <w:szCs w:val="20"/>
    </w:rPr>
  </w:style>
  <w:style w:type="paragraph" w:customStyle="1" w:styleId="547">
    <w:name w:val="列出段落3"/>
    <w:basedOn w:val="1"/>
    <w:qFormat/>
    <w:uiPriority w:val="0"/>
    <w:pPr>
      <w:ind w:firstLine="420" w:firstLineChars="200"/>
    </w:pPr>
    <w:rPr>
      <w:rFonts w:ascii="Cambria" w:hAnsi="Cambria" w:eastAsia="宋体" w:cs="Times New Roman"/>
      <w:sz w:val="24"/>
      <w:szCs w:val="24"/>
    </w:rPr>
  </w:style>
  <w:style w:type="paragraph" w:customStyle="1" w:styleId="548">
    <w:name w:val="Char1"/>
    <w:basedOn w:val="1"/>
    <w:qFormat/>
    <w:uiPriority w:val="0"/>
    <w:pPr>
      <w:widowControl/>
      <w:jc w:val="left"/>
    </w:pPr>
    <w:rPr>
      <w:rFonts w:ascii="仿宋_GB2312" w:hAnsi="Calibri" w:eastAsia="仿宋_GB2312" w:cs="Times New Roman"/>
      <w:b/>
      <w:sz w:val="32"/>
      <w:szCs w:val="20"/>
    </w:rPr>
  </w:style>
  <w:style w:type="paragraph" w:customStyle="1" w:styleId="549">
    <w:name w:val="样式 宋体 小四 黑色 行距: 1.5 倍行距1"/>
    <w:basedOn w:val="1"/>
    <w:qFormat/>
    <w:uiPriority w:val="0"/>
    <w:pPr>
      <w:spacing w:line="360" w:lineRule="auto"/>
      <w:ind w:firstLine="480" w:firstLineChars="200"/>
    </w:pPr>
    <w:rPr>
      <w:rFonts w:ascii="宋体" w:hAnsi="宋体" w:eastAsia="宋体" w:cs="宋体"/>
      <w:color w:val="000000"/>
      <w:kern w:val="0"/>
      <w:szCs w:val="20"/>
    </w:rPr>
  </w:style>
  <w:style w:type="paragraph" w:customStyle="1" w:styleId="550">
    <w:name w:val="p1"/>
    <w:basedOn w:val="1"/>
    <w:qFormat/>
    <w:uiPriority w:val="0"/>
    <w:pPr>
      <w:widowControl/>
      <w:jc w:val="left"/>
    </w:pPr>
    <w:rPr>
      <w:rFonts w:ascii="Helvetica" w:hAnsi="Helvetica" w:eastAsia="等线" w:cs="Times New Roman"/>
      <w:kern w:val="0"/>
      <w:sz w:val="16"/>
      <w:szCs w:val="16"/>
    </w:rPr>
  </w:style>
  <w:style w:type="paragraph" w:customStyle="1" w:styleId="551">
    <w:name w:val="方案正文"/>
    <w:basedOn w:val="1"/>
    <w:qFormat/>
    <w:uiPriority w:val="0"/>
    <w:pPr>
      <w:widowControl/>
      <w:autoSpaceDE w:val="0"/>
      <w:autoSpaceDN w:val="0"/>
      <w:adjustRightInd w:val="0"/>
      <w:snapToGrid w:val="0"/>
      <w:spacing w:line="500" w:lineRule="atLeast"/>
      <w:ind w:firstLine="561"/>
      <w:jc w:val="left"/>
    </w:pPr>
    <w:rPr>
      <w:rFonts w:ascii="仿宋_GB2312" w:hAnsi="Calibri" w:eastAsia="仿宋_GB2312" w:cs="Times New Roman"/>
      <w:kern w:val="0"/>
      <w:sz w:val="28"/>
      <w:szCs w:val="20"/>
    </w:rPr>
  </w:style>
  <w:style w:type="paragraph" w:customStyle="1" w:styleId="552">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53">
    <w:name w:val="正文缩进2格"/>
    <w:basedOn w:val="1"/>
    <w:qFormat/>
    <w:uiPriority w:val="0"/>
    <w:pPr>
      <w:autoSpaceDE w:val="0"/>
      <w:autoSpaceDN w:val="0"/>
      <w:adjustRightInd w:val="0"/>
      <w:spacing w:line="600" w:lineRule="exact"/>
      <w:ind w:firstLine="639" w:firstLineChars="206"/>
    </w:pPr>
    <w:rPr>
      <w:rFonts w:ascii="仿宋_GB2312" w:hAnsi="宋体" w:eastAsia="仿宋_GB2312" w:cs="Times New Roman"/>
      <w:color w:val="000000"/>
      <w:sz w:val="31"/>
      <w:szCs w:val="28"/>
    </w:rPr>
  </w:style>
  <w:style w:type="paragraph" w:customStyle="1" w:styleId="55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55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Times New Roman"/>
      <w:kern w:val="0"/>
      <w:sz w:val="24"/>
      <w:szCs w:val="24"/>
    </w:rPr>
  </w:style>
  <w:style w:type="paragraph" w:customStyle="1" w:styleId="556">
    <w:name w:val="TOC 标题1"/>
    <w:basedOn w:val="4"/>
    <w:next w:val="1"/>
    <w:qFormat/>
    <w:uiPriority w:val="0"/>
    <w:pPr>
      <w:tabs>
        <w:tab w:val="clear" w:pos="1440"/>
      </w:tabs>
      <w:spacing w:beforeLines="0" w:line="276" w:lineRule="auto"/>
      <w:jc w:val="left"/>
      <w:outlineLvl w:val="9"/>
    </w:pPr>
    <w:rPr>
      <w:rFonts w:ascii="Cambria" w:hAnsi="Cambria" w:eastAsia="宋体"/>
      <w:color w:val="365F90"/>
      <w:kern w:val="0"/>
      <w:sz w:val="28"/>
      <w:szCs w:val="28"/>
    </w:rPr>
  </w:style>
  <w:style w:type="paragraph" w:customStyle="1" w:styleId="557">
    <w:name w:val="标准段落"/>
    <w:basedOn w:val="1"/>
    <w:qFormat/>
    <w:uiPriority w:val="0"/>
    <w:pPr>
      <w:widowControl/>
      <w:topLinePunct/>
      <w:autoSpaceDE w:val="0"/>
      <w:autoSpaceDN w:val="0"/>
      <w:spacing w:line="360" w:lineRule="auto"/>
      <w:ind w:firstLine="560" w:firstLineChars="200"/>
      <w:jc w:val="left"/>
    </w:pPr>
    <w:rPr>
      <w:rFonts w:ascii="Calibri" w:hAnsi="宋体" w:eastAsia="宋体" w:cs="Times New Roman"/>
      <w:color w:val="FF0000"/>
      <w:sz w:val="28"/>
      <w:szCs w:val="24"/>
    </w:rPr>
  </w:style>
  <w:style w:type="paragraph" w:customStyle="1" w:styleId="558">
    <w:name w:val="正文缩进1"/>
    <w:basedOn w:val="1"/>
    <w:next w:val="3"/>
    <w:qFormat/>
    <w:uiPriority w:val="0"/>
    <w:pPr>
      <w:widowControl/>
      <w:autoSpaceDE w:val="0"/>
      <w:autoSpaceDN w:val="0"/>
      <w:adjustRightInd w:val="0"/>
      <w:snapToGrid w:val="0"/>
      <w:spacing w:after="120" w:line="360" w:lineRule="auto"/>
      <w:ind w:left="420" w:leftChars="200" w:firstLine="480" w:firstLineChars="200"/>
      <w:jc w:val="left"/>
    </w:pPr>
    <w:rPr>
      <w:rFonts w:ascii="Calibri" w:hAnsi="Calibri" w:eastAsia="宋体" w:cs="Times New Roman"/>
      <w:sz w:val="24"/>
      <w:szCs w:val="20"/>
    </w:rPr>
  </w:style>
  <w:style w:type="paragraph" w:customStyle="1" w:styleId="559">
    <w:name w:val="标书正文格式"/>
    <w:qFormat/>
    <w:uiPriority w:val="0"/>
    <w:pPr>
      <w:spacing w:line="360" w:lineRule="auto"/>
      <w:ind w:firstLine="480" w:firstLineChars="200"/>
    </w:pPr>
    <w:rPr>
      <w:rFonts w:ascii="楷体_GB2312" w:hAnsi="Times New Roman" w:eastAsia="楷体_GB2312" w:cs="Times New Roman"/>
      <w:color w:val="000000"/>
      <w:kern w:val="2"/>
      <w:sz w:val="24"/>
      <w:szCs w:val="24"/>
      <w:lang w:val="en-US" w:eastAsia="zh-CN" w:bidi="ar-SA"/>
    </w:rPr>
  </w:style>
  <w:style w:type="paragraph" w:customStyle="1" w:styleId="560">
    <w:name w:val="表文1"/>
    <w:basedOn w:val="1"/>
    <w:qFormat/>
    <w:uiPriority w:val="0"/>
    <w:pPr>
      <w:widowControl/>
      <w:spacing w:line="360" w:lineRule="auto"/>
      <w:ind w:left="-158" w:leftChars="-75" w:firstLine="471" w:firstLineChars="157"/>
      <w:jc w:val="left"/>
    </w:pPr>
    <w:rPr>
      <w:rFonts w:ascii="宋体" w:hAnsi="宋体" w:eastAsia="宋体" w:cs="Times New Roman"/>
      <w:color w:val="000000"/>
      <w:spacing w:val="10"/>
      <w:kern w:val="0"/>
      <w:sz w:val="28"/>
      <w:szCs w:val="18"/>
    </w:rPr>
  </w:style>
  <w:style w:type="paragraph" w:customStyle="1" w:styleId="561">
    <w:name w:val="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62">
    <w:name w:val="List Paragraph2"/>
    <w:basedOn w:val="1"/>
    <w:qFormat/>
    <w:uiPriority w:val="0"/>
    <w:pPr>
      <w:widowControl/>
      <w:ind w:firstLine="420" w:firstLineChars="200"/>
      <w:jc w:val="left"/>
    </w:pPr>
    <w:rPr>
      <w:rFonts w:ascii="Calibri" w:hAnsi="Calibri" w:eastAsia="宋体" w:cs="Times New Roman"/>
      <w:kern w:val="0"/>
      <w:sz w:val="20"/>
      <w:szCs w:val="20"/>
    </w:rPr>
  </w:style>
  <w:style w:type="paragraph" w:customStyle="1" w:styleId="563">
    <w:name w:val="Item Step in Table"/>
    <w:qFormat/>
    <w:uiPriority w:val="0"/>
    <w:pPr>
      <w:tabs>
        <w:tab w:val="left" w:pos="397"/>
      </w:tabs>
      <w:spacing w:before="40" w:after="40"/>
      <w:ind w:firstLine="403"/>
      <w:jc w:val="both"/>
    </w:pPr>
    <w:rPr>
      <w:rFonts w:ascii="Arial" w:hAnsi="Arial" w:eastAsia="宋体" w:cs="Arial"/>
      <w:sz w:val="18"/>
      <w:szCs w:val="18"/>
      <w:lang w:val="en-US" w:eastAsia="zh-CN" w:bidi="ar-SA"/>
    </w:rPr>
  </w:style>
  <w:style w:type="paragraph" w:customStyle="1" w:styleId="564">
    <w:name w:val="Pa9"/>
    <w:basedOn w:val="1"/>
    <w:next w:val="1"/>
    <w:qFormat/>
    <w:uiPriority w:val="0"/>
    <w:pPr>
      <w:widowControl/>
      <w:autoSpaceDE w:val="0"/>
      <w:autoSpaceDN w:val="0"/>
      <w:adjustRightInd w:val="0"/>
      <w:spacing w:before="40" w:line="146" w:lineRule="atLeast"/>
      <w:jc w:val="left"/>
    </w:pPr>
    <w:rPr>
      <w:rFonts w:ascii="Stone Sans" w:hAnsi="Stone Sans" w:eastAsia="宋体" w:cs="Times New Roman"/>
      <w:kern w:val="0"/>
      <w:sz w:val="24"/>
      <w:szCs w:val="24"/>
    </w:rPr>
  </w:style>
  <w:style w:type="paragraph" w:customStyle="1" w:styleId="565">
    <w:name w:val="文档正文 Char"/>
    <w:basedOn w:val="1"/>
    <w:qFormat/>
    <w:uiPriority w:val="0"/>
    <w:pPr>
      <w:widowControl/>
      <w:adjustRightInd w:val="0"/>
      <w:spacing w:line="480" w:lineRule="atLeast"/>
      <w:ind w:firstLine="567"/>
      <w:jc w:val="left"/>
      <w:textAlignment w:val="baseline"/>
    </w:pPr>
    <w:rPr>
      <w:rFonts w:ascii="仿宋_GB2312" w:hAnsi="Calibri" w:eastAsia="仿宋_GB2312" w:cs="仿宋_GB2312"/>
      <w:kern w:val="0"/>
      <w:sz w:val="28"/>
      <w:szCs w:val="28"/>
    </w:rPr>
  </w:style>
  <w:style w:type="paragraph" w:customStyle="1" w:styleId="566">
    <w:name w:val="xl35"/>
    <w:basedOn w:val="1"/>
    <w:qFormat/>
    <w:uiPriority w:val="0"/>
    <w:pPr>
      <w:widowControl/>
      <w:spacing w:before="100" w:beforeAutospacing="1" w:after="100" w:afterAutospacing="1"/>
      <w:jc w:val="center"/>
      <w:textAlignment w:val="center"/>
    </w:pPr>
    <w:rPr>
      <w:rFonts w:ascii="宋体" w:hAnsi="宋体" w:eastAsia="宋体" w:cs="Times New Roman"/>
      <w:b/>
      <w:bCs/>
      <w:kern w:val="0"/>
      <w:sz w:val="36"/>
      <w:szCs w:val="36"/>
    </w:rPr>
  </w:style>
  <w:style w:type="paragraph" w:customStyle="1" w:styleId="567">
    <w:name w:val="xl2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Times New Roman"/>
      <w:b/>
      <w:bCs/>
      <w:kern w:val="0"/>
      <w:sz w:val="24"/>
      <w:szCs w:val="24"/>
    </w:rPr>
  </w:style>
  <w:style w:type="paragraph" w:customStyle="1" w:styleId="568">
    <w:name w:val="Char Char Char 字元 字元"/>
    <w:basedOn w:val="1"/>
    <w:qFormat/>
    <w:uiPriority w:val="0"/>
    <w:pPr>
      <w:widowControl/>
      <w:spacing w:line="360" w:lineRule="auto"/>
      <w:ind w:firstLine="200" w:firstLineChars="200"/>
      <w:jc w:val="left"/>
    </w:pPr>
    <w:rPr>
      <w:rFonts w:ascii="Calibri" w:hAnsi="Calibri" w:eastAsia="宋体" w:cs="Times New Roman"/>
      <w:szCs w:val="20"/>
    </w:rPr>
  </w:style>
  <w:style w:type="paragraph" w:customStyle="1" w:styleId="569">
    <w:name w:val="xl2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Calibri" w:hAnsi="Calibri" w:eastAsia="宋体" w:cs="Times New Roman"/>
      <w:kern w:val="0"/>
      <w:sz w:val="24"/>
      <w:szCs w:val="24"/>
    </w:rPr>
  </w:style>
  <w:style w:type="paragraph" w:customStyle="1" w:styleId="570">
    <w:name w:val="p16"/>
    <w:basedOn w:val="1"/>
    <w:qFormat/>
    <w:uiPriority w:val="0"/>
    <w:pPr>
      <w:widowControl/>
      <w:spacing w:before="80" w:after="80"/>
      <w:jc w:val="left"/>
    </w:pPr>
    <w:rPr>
      <w:rFonts w:ascii="Arial" w:hAnsi="Arial" w:eastAsia="宋体" w:cs="Arial"/>
      <w:kern w:val="0"/>
      <w:sz w:val="18"/>
      <w:szCs w:val="18"/>
    </w:rPr>
  </w:style>
  <w:style w:type="paragraph" w:customStyle="1" w:styleId="571">
    <w:name w:val="xl4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宋体" w:cs="Times New Roman"/>
      <w:kern w:val="0"/>
      <w:sz w:val="52"/>
      <w:szCs w:val="52"/>
    </w:rPr>
  </w:style>
  <w:style w:type="paragraph" w:customStyle="1" w:styleId="572">
    <w:name w:val="列出段落11"/>
    <w:basedOn w:val="1"/>
    <w:qFormat/>
    <w:uiPriority w:val="0"/>
    <w:pPr>
      <w:widowControl/>
      <w:ind w:firstLine="420" w:firstLineChars="200"/>
      <w:jc w:val="left"/>
    </w:pPr>
    <w:rPr>
      <w:rFonts w:ascii="Calibri" w:hAnsi="Calibri" w:eastAsia="宋体" w:cs="Times New Roman"/>
      <w:kern w:val="0"/>
      <w:sz w:val="24"/>
      <w:szCs w:val="20"/>
    </w:rPr>
  </w:style>
  <w:style w:type="paragraph" w:customStyle="1" w:styleId="573">
    <w:name w:val="正文段落"/>
    <w:basedOn w:val="1"/>
    <w:qFormat/>
    <w:uiPriority w:val="0"/>
    <w:pPr>
      <w:spacing w:line="360" w:lineRule="auto"/>
      <w:ind w:firstLine="440" w:firstLineChars="200"/>
    </w:pPr>
    <w:rPr>
      <w:rFonts w:ascii="宋体" w:hAnsi="宋体" w:eastAsia="宋体" w:cs="宋体"/>
      <w:kern w:val="0"/>
      <w:szCs w:val="20"/>
    </w:rPr>
  </w:style>
  <w:style w:type="paragraph" w:customStyle="1" w:styleId="574">
    <w:name w:val="C11"/>
    <w:basedOn w:val="1"/>
    <w:qFormat/>
    <w:uiPriority w:val="0"/>
    <w:pPr>
      <w:widowControl/>
      <w:tabs>
        <w:tab w:val="left" w:pos="360"/>
      </w:tabs>
      <w:autoSpaceDE w:val="0"/>
      <w:autoSpaceDN w:val="0"/>
      <w:adjustRightInd w:val="0"/>
      <w:spacing w:before="60" w:line="288" w:lineRule="auto"/>
      <w:jc w:val="left"/>
      <w:textAlignment w:val="bottom"/>
    </w:pPr>
    <w:rPr>
      <w:rFonts w:ascii="Calibri" w:hAnsi="Calibri" w:eastAsia="華康細圓體" w:cs="Times New Roman"/>
      <w:kern w:val="0"/>
      <w:sz w:val="22"/>
      <w:szCs w:val="20"/>
      <w:lang w:eastAsia="zh-TW"/>
    </w:rPr>
  </w:style>
  <w:style w:type="paragraph" w:customStyle="1" w:styleId="575">
    <w:name w:val="Char Char Char Char Char Char Char Char Char Char"/>
    <w:basedOn w:val="21"/>
    <w:qFormat/>
    <w:uiPriority w:val="0"/>
    <w:rPr>
      <w:rFonts w:ascii="Tahoma" w:hAnsi="Tahoma" w:cs="Times New Roman"/>
      <w:kern w:val="0"/>
      <w:sz w:val="24"/>
      <w:szCs w:val="24"/>
    </w:rPr>
  </w:style>
  <w:style w:type="paragraph" w:customStyle="1" w:styleId="576">
    <w:name w:val="4"/>
    <w:basedOn w:val="1"/>
    <w:next w:val="58"/>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577">
    <w:name w:val="项目"/>
    <w:basedOn w:val="13"/>
    <w:qFormat/>
    <w:uiPriority w:val="0"/>
    <w:pPr>
      <w:tabs>
        <w:tab w:val="left" w:pos="1140"/>
        <w:tab w:val="left" w:pos="1389"/>
      </w:tabs>
      <w:spacing w:after="120"/>
      <w:ind w:left="1140" w:leftChars="0" w:hanging="420" w:firstLineChars="0"/>
    </w:pPr>
    <w:rPr>
      <w:rFonts w:ascii="华文中宋" w:hAnsi="Verdana" w:eastAsia="华文中宋"/>
      <w:color w:val="000066"/>
      <w:szCs w:val="21"/>
    </w:rPr>
  </w:style>
  <w:style w:type="paragraph" w:customStyle="1" w:styleId="578">
    <w:name w:val="xl3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579">
    <w:name w:val="5"/>
    <w:basedOn w:val="1"/>
    <w:next w:val="26"/>
    <w:qFormat/>
    <w:uiPriority w:val="0"/>
    <w:pPr>
      <w:widowControl/>
      <w:ind w:right="26"/>
      <w:jc w:val="left"/>
    </w:pPr>
    <w:rPr>
      <w:rFonts w:ascii="楷体_GB2312" w:hAnsi="Calibri" w:eastAsia="楷体_GB2312" w:cs="Times New Roman"/>
      <w:spacing w:val="4"/>
      <w:kern w:val="0"/>
      <w:sz w:val="28"/>
      <w:szCs w:val="20"/>
    </w:rPr>
  </w:style>
  <w:style w:type="paragraph" w:customStyle="1" w:styleId="580">
    <w:name w:val="xl4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Times New Roman"/>
      <w:kern w:val="0"/>
      <w:sz w:val="52"/>
      <w:szCs w:val="52"/>
    </w:rPr>
  </w:style>
  <w:style w:type="paragraph" w:customStyle="1" w:styleId="581">
    <w:name w:val="表格内文"/>
    <w:basedOn w:val="1"/>
    <w:qFormat/>
    <w:uiPriority w:val="0"/>
    <w:pPr>
      <w:widowControl/>
      <w:spacing w:line="360" w:lineRule="auto"/>
      <w:jc w:val="left"/>
    </w:pPr>
    <w:rPr>
      <w:rFonts w:ascii="宋体" w:hAnsi="宋体" w:eastAsia="宋体" w:cs="宋体"/>
      <w:color w:val="000000"/>
      <w:szCs w:val="21"/>
    </w:rPr>
  </w:style>
  <w:style w:type="paragraph" w:customStyle="1" w:styleId="582">
    <w:name w:val="Retrait 2"/>
    <w:basedOn w:val="1"/>
    <w:qFormat/>
    <w:uiPriority w:val="0"/>
    <w:pPr>
      <w:widowControl/>
      <w:spacing w:line="360" w:lineRule="auto"/>
      <w:ind w:left="1417" w:hanging="283"/>
      <w:jc w:val="left"/>
    </w:pPr>
    <w:rPr>
      <w:rFonts w:ascii="Calibri" w:hAnsi="Calibri" w:eastAsia="楷体_GB2312" w:cs="Times New Roman"/>
      <w:bCs/>
      <w:sz w:val="28"/>
      <w:szCs w:val="20"/>
    </w:rPr>
  </w:style>
  <w:style w:type="paragraph" w:customStyle="1" w:styleId="583">
    <w:name w:val="xl4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宋体" w:cs="Times New Roman"/>
      <w:kern w:val="0"/>
      <w:sz w:val="52"/>
      <w:szCs w:val="52"/>
    </w:rPr>
  </w:style>
  <w:style w:type="paragraph" w:customStyle="1" w:styleId="584">
    <w:name w:val="默认段落字体 Para Char Char Char Char Char Char Char Char Char1"/>
    <w:basedOn w:val="1"/>
    <w:qFormat/>
    <w:uiPriority w:val="0"/>
    <w:pPr>
      <w:widowControl/>
      <w:jc w:val="left"/>
    </w:pPr>
    <w:rPr>
      <w:rFonts w:ascii="Calibri" w:hAnsi="Calibri" w:eastAsia="宋体" w:cs="Times New Roman"/>
      <w:szCs w:val="21"/>
    </w:rPr>
  </w:style>
  <w:style w:type="paragraph" w:customStyle="1" w:styleId="585">
    <w:name w:val="tablete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86">
    <w:name w:val="正文3"/>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587">
    <w:name w:val="xl57"/>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w:hAnsi="Arial" w:eastAsia="宋体" w:cs="Arial"/>
      <w:kern w:val="0"/>
      <w:sz w:val="20"/>
      <w:szCs w:val="20"/>
    </w:rPr>
  </w:style>
  <w:style w:type="paragraph" w:customStyle="1" w:styleId="588">
    <w:name w:val="_Style 76"/>
    <w:next w:v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89">
    <w:name w:val="小标题 1"/>
    <w:basedOn w:val="1"/>
    <w:qFormat/>
    <w:uiPriority w:val="0"/>
    <w:pPr>
      <w:widowControl/>
      <w:autoSpaceDE w:val="0"/>
      <w:autoSpaceDN w:val="0"/>
      <w:adjustRightInd w:val="0"/>
      <w:spacing w:line="360" w:lineRule="atLeast"/>
      <w:jc w:val="left"/>
    </w:pPr>
    <w:rPr>
      <w:rFonts w:ascii="文鼎粗黑" w:hAnsi="Calibri" w:eastAsia="文鼎粗黑" w:cs="Times New Roman"/>
      <w:kern w:val="0"/>
      <w:sz w:val="22"/>
      <w:szCs w:val="20"/>
    </w:rPr>
  </w:style>
  <w:style w:type="paragraph" w:customStyle="1" w:styleId="590">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1">
    <w:name w:val="xl23"/>
    <w:basedOn w:val="1"/>
    <w:qFormat/>
    <w:uiPriority w:val="0"/>
    <w:pPr>
      <w:widowControl/>
      <w:pBdr>
        <w:top w:val="single" w:color="auto" w:sz="8" w:space="0"/>
      </w:pBdr>
      <w:shd w:val="clear" w:color="auto" w:fill="FFFFFF"/>
      <w:spacing w:before="100" w:beforeAutospacing="1" w:after="100" w:afterAutospacing="1"/>
      <w:jc w:val="center"/>
      <w:textAlignment w:val="bottom"/>
    </w:pPr>
    <w:rPr>
      <w:rFonts w:ascii="Arial" w:hAnsi="Arial" w:eastAsia="宋体" w:cs="Arial"/>
      <w:b/>
      <w:bCs/>
      <w:kern w:val="0"/>
      <w:sz w:val="44"/>
      <w:szCs w:val="44"/>
    </w:rPr>
  </w:style>
  <w:style w:type="paragraph" w:customStyle="1" w:styleId="592">
    <w:name w:val="E 正文"/>
    <w:basedOn w:val="1"/>
    <w:qFormat/>
    <w:uiPriority w:val="0"/>
    <w:pPr>
      <w:widowControl/>
      <w:spacing w:line="360" w:lineRule="auto"/>
      <w:jc w:val="left"/>
    </w:pPr>
    <w:rPr>
      <w:rFonts w:ascii="Times New Roman" w:hAnsi="Times New Roman" w:eastAsia="宋体" w:cs="黑体"/>
      <w:color w:val="000000"/>
      <w:kern w:val="0"/>
      <w:sz w:val="24"/>
      <w:szCs w:val="24"/>
    </w:rPr>
  </w:style>
  <w:style w:type="paragraph" w:customStyle="1" w:styleId="593">
    <w:name w:val="xl38"/>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eastAsia="宋体" w:cs="Times New Roman"/>
      <w:b/>
      <w:bCs/>
      <w:kern w:val="0"/>
      <w:sz w:val="24"/>
      <w:szCs w:val="24"/>
    </w:rPr>
  </w:style>
  <w:style w:type="paragraph" w:customStyle="1" w:styleId="594">
    <w:name w:val="xl59"/>
    <w:basedOn w:val="1"/>
    <w:qFormat/>
    <w:uiPriority w:val="0"/>
    <w:pPr>
      <w:widowControl/>
      <w:pBdr>
        <w:top w:val="single" w:color="auto" w:sz="4" w:space="0"/>
        <w:left w:val="single" w:color="auto" w:sz="8" w:space="0"/>
        <w:bottom w:val="single" w:color="auto" w:sz="8" w:space="0"/>
      </w:pBdr>
      <w:spacing w:before="100" w:beforeAutospacing="1" w:after="100" w:afterAutospacing="1"/>
      <w:jc w:val="center"/>
    </w:pPr>
    <w:rPr>
      <w:rFonts w:ascii="Arial Unicode MS" w:hAnsi="Arial Unicode MS" w:eastAsia="宋体" w:cs="Times New Roman"/>
      <w:kern w:val="0"/>
      <w:sz w:val="24"/>
      <w:szCs w:val="24"/>
    </w:rPr>
  </w:style>
  <w:style w:type="paragraph" w:customStyle="1" w:styleId="595">
    <w:name w:val="Char1 Char Char Char"/>
    <w:basedOn w:val="1"/>
    <w:qFormat/>
    <w:uiPriority w:val="0"/>
    <w:pPr>
      <w:widowControl/>
      <w:jc w:val="left"/>
    </w:pPr>
    <w:rPr>
      <w:rFonts w:ascii="仿宋_GB2312" w:hAnsi="Calibri" w:eastAsia="仿宋_GB2312" w:cs="Times New Roman"/>
      <w:b/>
      <w:sz w:val="32"/>
      <w:szCs w:val="32"/>
    </w:rPr>
  </w:style>
  <w:style w:type="paragraph" w:customStyle="1" w:styleId="596">
    <w:name w:val="C标书正文（加粗后加）"/>
    <w:basedOn w:val="1"/>
    <w:qFormat/>
    <w:uiPriority w:val="0"/>
    <w:pPr>
      <w:widowControl/>
      <w:spacing w:after="240" w:line="360" w:lineRule="auto"/>
      <w:ind w:firstLine="426"/>
    </w:pPr>
    <w:rPr>
      <w:rFonts w:ascii="仿宋" w:hAnsi="仿宋" w:eastAsia="仿宋" w:cs="黑体"/>
      <w:b/>
      <w:color w:val="000000"/>
      <w:kern w:val="0"/>
      <w:sz w:val="24"/>
      <w:szCs w:val="24"/>
    </w:rPr>
  </w:style>
  <w:style w:type="paragraph" w:customStyle="1" w:styleId="597">
    <w:name w:val="straightmatter"/>
    <w:basedOn w:val="1"/>
    <w:qFormat/>
    <w:uiPriority w:val="0"/>
    <w:pPr>
      <w:widowControl/>
      <w:spacing w:before="120" w:after="120" w:line="288" w:lineRule="atLeast"/>
      <w:ind w:left="120" w:right="120"/>
      <w:jc w:val="left"/>
    </w:pPr>
    <w:rPr>
      <w:rFonts w:ascii="宋体" w:hAnsi="宋体" w:eastAsia="宋体" w:cs="Times New Roman"/>
      <w:color w:val="52987C"/>
      <w:kern w:val="0"/>
      <w:sz w:val="24"/>
      <w:szCs w:val="24"/>
    </w:rPr>
  </w:style>
  <w:style w:type="paragraph" w:customStyle="1" w:styleId="598">
    <w:name w:val="F11-1"/>
    <w:basedOn w:val="1"/>
    <w:qFormat/>
    <w:uiPriority w:val="0"/>
    <w:pPr>
      <w:widowControl/>
      <w:tabs>
        <w:tab w:val="left" w:pos="240"/>
        <w:tab w:val="left" w:pos="4680"/>
      </w:tabs>
      <w:adjustRightInd w:val="0"/>
      <w:spacing w:after="120"/>
      <w:jc w:val="left"/>
      <w:textAlignment w:val="baseline"/>
    </w:pPr>
    <w:rPr>
      <w:rFonts w:ascii="Calibri" w:hAnsi="Calibri" w:eastAsia="華康細圓體" w:cs="Times New Roman"/>
      <w:kern w:val="0"/>
      <w:sz w:val="24"/>
      <w:szCs w:val="20"/>
      <w:lang w:eastAsia="zh-TW"/>
    </w:rPr>
  </w:style>
  <w:style w:type="paragraph" w:customStyle="1" w:styleId="599">
    <w:name w:val="前言、引言标题"/>
    <w:next w:val="1"/>
    <w:qFormat/>
    <w:uiPriority w:val="0"/>
    <w:pPr>
      <w:shd w:val="clear" w:color="auto" w:fill="FFFFFF"/>
      <w:spacing w:before="640" w:after="560"/>
      <w:jc w:val="center"/>
      <w:outlineLvl w:val="0"/>
    </w:pPr>
    <w:rPr>
      <w:rFonts w:ascii="黑体" w:hAnsi="Times New Roman" w:eastAsia="黑体" w:cs="Times New Roman"/>
      <w:sz w:val="32"/>
      <w:lang w:val="en-US" w:eastAsia="zh-CN" w:bidi="ar-SA"/>
    </w:rPr>
  </w:style>
  <w:style w:type="paragraph" w:customStyle="1" w:styleId="600">
    <w:name w:val="xl53"/>
    <w:basedOn w:val="1"/>
    <w:qFormat/>
    <w:uiPriority w:val="0"/>
    <w:pPr>
      <w:widowControl/>
      <w:pBdr>
        <w:bottom w:val="single" w:color="auto" w:sz="8" w:space="0"/>
        <w:right w:val="single" w:color="auto" w:sz="4" w:space="0"/>
      </w:pBdr>
      <w:spacing w:before="100" w:beforeAutospacing="1" w:after="100" w:afterAutospacing="1"/>
      <w:jc w:val="left"/>
    </w:pPr>
    <w:rPr>
      <w:rFonts w:ascii="Arial Unicode MS" w:hAnsi="Arial Unicode MS" w:eastAsia="宋体" w:cs="Times New Roman"/>
      <w:kern w:val="0"/>
      <w:sz w:val="24"/>
      <w:szCs w:val="24"/>
    </w:rPr>
  </w:style>
  <w:style w:type="paragraph" w:customStyle="1" w:styleId="601">
    <w:name w:val="默认段落字体 Para Char Char Char Char Char Char Char Char Char"/>
    <w:basedOn w:val="1"/>
    <w:qFormat/>
    <w:uiPriority w:val="0"/>
    <w:pPr>
      <w:widowControl/>
      <w:jc w:val="left"/>
    </w:pPr>
    <w:rPr>
      <w:rFonts w:ascii="Tahoma" w:hAnsi="Tahoma" w:eastAsia="宋体" w:cs="Tahoma"/>
      <w:sz w:val="24"/>
      <w:szCs w:val="24"/>
    </w:rPr>
  </w:style>
  <w:style w:type="paragraph" w:customStyle="1" w:styleId="602">
    <w:name w:val="msolistparagraph"/>
    <w:basedOn w:val="1"/>
    <w:qFormat/>
    <w:uiPriority w:val="0"/>
    <w:pPr>
      <w:ind w:firstLine="420" w:firstLineChars="200"/>
    </w:pPr>
    <w:rPr>
      <w:rFonts w:ascii="Calibri" w:hAnsi="Calibri" w:eastAsia="宋体" w:cs="Times New Roman"/>
      <w:szCs w:val="20"/>
    </w:rPr>
  </w:style>
  <w:style w:type="paragraph" w:customStyle="1" w:styleId="603">
    <w:name w:val="txt"/>
    <w:basedOn w:val="1"/>
    <w:qFormat/>
    <w:uiPriority w:val="0"/>
    <w:pPr>
      <w:widowControl/>
      <w:spacing w:before="100" w:beforeAutospacing="1" w:after="100" w:afterAutospacing="1" w:line="500" w:lineRule="atLeast"/>
      <w:jc w:val="left"/>
    </w:pPr>
    <w:rPr>
      <w:rFonts w:ascii="宋体" w:hAnsi="宋体" w:eastAsia="宋体" w:cs="Times New Roman"/>
      <w:kern w:val="0"/>
      <w:sz w:val="24"/>
      <w:szCs w:val="24"/>
    </w:rPr>
  </w:style>
  <w:style w:type="paragraph" w:customStyle="1" w:styleId="604">
    <w:name w:val="xl54"/>
    <w:basedOn w:val="1"/>
    <w:qFormat/>
    <w:uiPriority w:val="0"/>
    <w:pPr>
      <w:widowControl/>
      <w:pBdr>
        <w:bottom w:val="single" w:color="auto" w:sz="8" w:space="0"/>
        <w:right w:val="single" w:color="auto" w:sz="4" w:space="0"/>
      </w:pBdr>
      <w:spacing w:before="100" w:beforeAutospacing="1" w:after="100" w:afterAutospacing="1"/>
      <w:jc w:val="left"/>
    </w:pPr>
    <w:rPr>
      <w:rFonts w:ascii="Arial" w:hAnsi="Arial" w:eastAsia="宋体" w:cs="Arial"/>
      <w:b/>
      <w:bCs/>
      <w:kern w:val="0"/>
      <w:sz w:val="24"/>
      <w:szCs w:val="24"/>
    </w:rPr>
  </w:style>
  <w:style w:type="paragraph" w:customStyle="1" w:styleId="605">
    <w:name w:val="a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06">
    <w:name w:val="a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07">
    <w:name w:val="五级条标题"/>
    <w:basedOn w:val="608"/>
    <w:next w:val="396"/>
    <w:qFormat/>
    <w:uiPriority w:val="0"/>
    <w:pPr>
      <w:tabs>
        <w:tab w:val="left" w:pos="1200"/>
      </w:tabs>
      <w:outlineLvl w:val="6"/>
    </w:pPr>
  </w:style>
  <w:style w:type="paragraph" w:customStyle="1" w:styleId="608">
    <w:name w:val="四级条标题"/>
    <w:basedOn w:val="609"/>
    <w:next w:val="396"/>
    <w:qFormat/>
    <w:uiPriority w:val="0"/>
    <w:pPr>
      <w:tabs>
        <w:tab w:val="left" w:pos="1200"/>
      </w:tabs>
      <w:outlineLvl w:val="5"/>
    </w:pPr>
  </w:style>
  <w:style w:type="paragraph" w:customStyle="1" w:styleId="609">
    <w:name w:val="三级条标题"/>
    <w:basedOn w:val="610"/>
    <w:next w:val="396"/>
    <w:qFormat/>
    <w:uiPriority w:val="0"/>
    <w:pPr>
      <w:tabs>
        <w:tab w:val="left" w:pos="1200"/>
      </w:tabs>
      <w:outlineLvl w:val="4"/>
    </w:pPr>
  </w:style>
  <w:style w:type="paragraph" w:customStyle="1" w:styleId="610">
    <w:name w:val="二级条标题"/>
    <w:basedOn w:val="472"/>
    <w:next w:val="396"/>
    <w:qFormat/>
    <w:uiPriority w:val="0"/>
    <w:pPr>
      <w:outlineLvl w:val="3"/>
    </w:pPr>
    <w:rPr>
      <w:rFonts w:ascii="Calibri" w:hAnsi="Calibri" w:eastAsia="宋体"/>
    </w:rPr>
  </w:style>
  <w:style w:type="paragraph" w:customStyle="1" w:styleId="611">
    <w:name w:val="xl48"/>
    <w:basedOn w:val="1"/>
    <w:qFormat/>
    <w:uiPriority w:val="0"/>
    <w:pPr>
      <w:widowControl/>
      <w:pBdr>
        <w:top w:val="single" w:color="auto" w:sz="4" w:space="0"/>
        <w:bottom w:val="single" w:color="auto" w:sz="8" w:space="0"/>
      </w:pBdr>
      <w:spacing w:before="100" w:beforeAutospacing="1" w:after="100" w:afterAutospacing="1"/>
      <w:jc w:val="center"/>
      <w:textAlignment w:val="center"/>
    </w:pPr>
    <w:rPr>
      <w:rFonts w:ascii="Arial Unicode MS" w:hAnsi="Arial Unicode MS" w:eastAsia="宋体" w:cs="Times New Roman"/>
      <w:b/>
      <w:bCs/>
      <w:kern w:val="0"/>
      <w:sz w:val="52"/>
      <w:szCs w:val="52"/>
    </w:rPr>
  </w:style>
  <w:style w:type="paragraph" w:customStyle="1" w:styleId="612">
    <w:name w:val="正文31"/>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613">
    <w:name w:val="标书表格字体格式"/>
    <w:next w:val="1"/>
    <w:qFormat/>
    <w:uiPriority w:val="0"/>
    <w:rPr>
      <w:rFonts w:ascii="Times New Roman" w:hAnsi="Times New Roman" w:eastAsia="宋体" w:cs="Times New Roman"/>
      <w:kern w:val="2"/>
      <w:sz w:val="21"/>
      <w:szCs w:val="24"/>
      <w:lang w:val="en-US" w:eastAsia="zh-CN" w:bidi="ar-SA"/>
    </w:rPr>
  </w:style>
  <w:style w:type="paragraph" w:customStyle="1" w:styleId="614">
    <w:name w:val="默认段落字体 Para Char Char Char Char Char Char Char Char Char Char Char Char Char Char Char Char Char Char Char"/>
    <w:basedOn w:val="1"/>
    <w:qFormat/>
    <w:uiPriority w:val="0"/>
    <w:pPr>
      <w:widowControl/>
      <w:jc w:val="left"/>
    </w:pPr>
    <w:rPr>
      <w:rFonts w:ascii="Tahoma" w:hAnsi="Tahoma" w:eastAsia="宋体" w:cs="Times New Roman"/>
      <w:sz w:val="24"/>
      <w:szCs w:val="20"/>
    </w:rPr>
  </w:style>
  <w:style w:type="paragraph" w:customStyle="1" w:styleId="615">
    <w:name w:val="默认段落字体 Para Char Char Char Char111"/>
    <w:basedOn w:val="1"/>
    <w:qFormat/>
    <w:uiPriority w:val="0"/>
    <w:pPr>
      <w:widowControl/>
      <w:jc w:val="left"/>
    </w:pPr>
    <w:rPr>
      <w:rFonts w:ascii="Calibri" w:hAnsi="Calibri" w:eastAsia="宋体" w:cs="Calibri"/>
      <w:kern w:val="0"/>
      <w:sz w:val="24"/>
      <w:szCs w:val="24"/>
      <w:lang w:eastAsia="en-US"/>
    </w:rPr>
  </w:style>
  <w:style w:type="paragraph" w:customStyle="1" w:styleId="616">
    <w:name w:val="Revision1"/>
    <w:qFormat/>
    <w:uiPriority w:val="0"/>
    <w:rPr>
      <w:rFonts w:ascii="Times New Roman" w:hAnsi="Times New Roman" w:eastAsia="宋体" w:cs="Times New Roman"/>
      <w:kern w:val="2"/>
      <w:sz w:val="21"/>
      <w:lang w:val="en-US" w:eastAsia="zh-CN" w:bidi="ar-SA"/>
    </w:rPr>
  </w:style>
  <w:style w:type="paragraph" w:customStyle="1" w:styleId="617">
    <w:name w:val="xl52"/>
    <w:basedOn w:val="1"/>
    <w:qFormat/>
    <w:uiPriority w:val="0"/>
    <w:pPr>
      <w:widowControl/>
      <w:pBdr>
        <w:bottom w:val="single" w:color="auto" w:sz="4" w:space="0"/>
        <w:right w:val="single" w:color="auto" w:sz="8" w:space="0"/>
      </w:pBdr>
      <w:spacing w:before="100" w:beforeAutospacing="1" w:after="100" w:afterAutospacing="1"/>
      <w:jc w:val="center"/>
      <w:textAlignment w:val="center"/>
    </w:pPr>
    <w:rPr>
      <w:rFonts w:ascii="Arial" w:hAnsi="Arial" w:eastAsia="宋体" w:cs="Arial"/>
      <w:kern w:val="0"/>
      <w:sz w:val="20"/>
      <w:szCs w:val="20"/>
    </w:rPr>
  </w:style>
  <w:style w:type="paragraph" w:customStyle="1" w:styleId="618">
    <w:name w:val="Char Char Char Char Char Char Char Char"/>
    <w:basedOn w:val="1"/>
    <w:qFormat/>
    <w:uiPriority w:val="0"/>
    <w:pPr>
      <w:widowControl/>
      <w:tabs>
        <w:tab w:val="left" w:pos="360"/>
      </w:tabs>
      <w:jc w:val="left"/>
    </w:pPr>
    <w:rPr>
      <w:rFonts w:ascii="Calibri" w:hAnsi="Calibri" w:eastAsia="宋体" w:cs="Times New Roman"/>
      <w:sz w:val="24"/>
      <w:szCs w:val="24"/>
    </w:rPr>
  </w:style>
  <w:style w:type="paragraph" w:customStyle="1" w:styleId="619">
    <w:name w:val="outdent"/>
    <w:basedOn w:val="1"/>
    <w:qFormat/>
    <w:uiPriority w:val="0"/>
    <w:pPr>
      <w:widowControl/>
      <w:tabs>
        <w:tab w:val="left" w:pos="420"/>
        <w:tab w:val="left" w:pos="2552"/>
      </w:tabs>
      <w:snapToGrid w:val="0"/>
      <w:spacing w:before="60" w:after="60"/>
      <w:ind w:left="420" w:right="709" w:hanging="420"/>
      <w:jc w:val="left"/>
    </w:pPr>
    <w:rPr>
      <w:rFonts w:ascii="Calibri" w:hAnsi="Calibri" w:eastAsia="2OcuAe" w:cs="Times New Roman"/>
      <w:spacing w:val="2"/>
      <w:kern w:val="0"/>
      <w:sz w:val="20"/>
      <w:szCs w:val="20"/>
      <w:lang w:eastAsia="zh-TW"/>
    </w:rPr>
  </w:style>
  <w:style w:type="paragraph" w:customStyle="1" w:styleId="620">
    <w:name w:val="默认段落字体 Para Char Char Char Char Char Char Char"/>
    <w:basedOn w:val="1"/>
    <w:qFormat/>
    <w:uiPriority w:val="0"/>
    <w:pPr>
      <w:widowControl/>
      <w:jc w:val="left"/>
    </w:pPr>
    <w:rPr>
      <w:rFonts w:ascii="Tahoma" w:hAnsi="Tahoma" w:eastAsia="宋体" w:cs="Times New Roman"/>
      <w:sz w:val="24"/>
      <w:szCs w:val="20"/>
    </w:rPr>
  </w:style>
  <w:style w:type="paragraph" w:customStyle="1" w:styleId="621">
    <w:name w:val="Char Char Char Char Char Char Char Char Char Char Char Char Char"/>
    <w:basedOn w:val="1"/>
    <w:qFormat/>
    <w:uiPriority w:val="0"/>
    <w:pPr>
      <w:tabs>
        <w:tab w:val="left" w:pos="432"/>
      </w:tabs>
      <w:ind w:left="432" w:hanging="432"/>
    </w:pPr>
    <w:rPr>
      <w:rFonts w:ascii="Calibri" w:hAnsi="Calibri" w:eastAsia="宋体" w:cs="Times New Roman"/>
    </w:rPr>
  </w:style>
  <w:style w:type="paragraph" w:customStyle="1" w:styleId="622">
    <w:name w:val="无间隔11"/>
    <w:basedOn w:val="1"/>
    <w:qFormat/>
    <w:uiPriority w:val="0"/>
    <w:pPr>
      <w:widowControl/>
    </w:pPr>
    <w:rPr>
      <w:rFonts w:ascii="Calibri" w:hAnsi="Calibri" w:eastAsia="宋体" w:cs="Calibri"/>
      <w:kern w:val="0"/>
      <w:szCs w:val="24"/>
      <w:lang w:eastAsia="en-US"/>
    </w:rPr>
  </w:style>
  <w:style w:type="paragraph" w:customStyle="1" w:styleId="623">
    <w:name w:val="xl61"/>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pPr>
    <w:rPr>
      <w:rFonts w:ascii="Arial Unicode MS" w:hAnsi="Arial Unicode MS" w:eastAsia="宋体" w:cs="Times New Roman"/>
      <w:kern w:val="0"/>
      <w:sz w:val="24"/>
      <w:szCs w:val="24"/>
    </w:rPr>
  </w:style>
  <w:style w:type="paragraph" w:customStyle="1" w:styleId="624">
    <w:name w:val="p21"/>
    <w:basedOn w:val="1"/>
    <w:qFormat/>
    <w:uiPriority w:val="0"/>
    <w:pPr>
      <w:widowControl/>
      <w:ind w:firstLine="420"/>
    </w:pPr>
    <w:rPr>
      <w:rFonts w:ascii="Calibri" w:hAnsi="Calibri" w:eastAsia="宋体" w:cs="宋体"/>
      <w:kern w:val="0"/>
      <w:szCs w:val="21"/>
    </w:rPr>
  </w:style>
  <w:style w:type="paragraph" w:customStyle="1" w:styleId="625">
    <w:name w:val="Pa0"/>
    <w:basedOn w:val="1"/>
    <w:next w:val="1"/>
    <w:qFormat/>
    <w:uiPriority w:val="0"/>
    <w:pPr>
      <w:widowControl/>
      <w:autoSpaceDE w:val="0"/>
      <w:autoSpaceDN w:val="0"/>
      <w:adjustRightInd w:val="0"/>
      <w:spacing w:line="241" w:lineRule="atLeast"/>
      <w:jc w:val="left"/>
    </w:pPr>
    <w:rPr>
      <w:rFonts w:ascii="H Yg 2gj" w:hAnsi="Calibri" w:eastAsia="H Yg 2gj" w:cs="Times New Roman"/>
      <w:kern w:val="0"/>
      <w:sz w:val="24"/>
      <w:szCs w:val="24"/>
    </w:rPr>
  </w:style>
  <w:style w:type="paragraph" w:customStyle="1" w:styleId="626">
    <w:name w:val="xl50"/>
    <w:basedOn w:val="1"/>
    <w:qFormat/>
    <w:uiPriority w:val="0"/>
    <w:pPr>
      <w:widowControl/>
      <w:pBdr>
        <w:bottom w:val="single" w:color="auto" w:sz="4" w:space="0"/>
        <w:right w:val="single" w:color="auto" w:sz="8" w:space="0"/>
      </w:pBdr>
      <w:spacing w:before="100" w:beforeAutospacing="1" w:after="100" w:afterAutospacing="1"/>
      <w:jc w:val="center"/>
      <w:textAlignment w:val="center"/>
    </w:pPr>
    <w:rPr>
      <w:rFonts w:ascii="Arial Unicode MS" w:hAnsi="Arial Unicode MS" w:eastAsia="宋体" w:cs="Times New Roman"/>
      <w:kern w:val="0"/>
      <w:sz w:val="20"/>
      <w:szCs w:val="20"/>
    </w:rPr>
  </w:style>
  <w:style w:type="paragraph" w:customStyle="1" w:styleId="627">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textAlignment w:val="center"/>
    </w:pPr>
    <w:rPr>
      <w:rFonts w:ascii="Calibri" w:hAnsi="Calibri" w:eastAsia="宋体" w:cs="Times New Roman"/>
      <w:b/>
      <w:bCs/>
      <w:kern w:val="0"/>
      <w:sz w:val="52"/>
      <w:szCs w:val="52"/>
    </w:rPr>
  </w:style>
  <w:style w:type="paragraph" w:customStyle="1" w:styleId="628">
    <w:name w:val="xl6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Arial" w:hAnsi="Arial" w:eastAsia="宋体" w:cs="Arial"/>
      <w:kern w:val="0"/>
      <w:sz w:val="32"/>
      <w:szCs w:val="32"/>
    </w:rPr>
  </w:style>
  <w:style w:type="paragraph" w:customStyle="1" w:styleId="629">
    <w:name w:val="標題 1-1"/>
    <w:qFormat/>
    <w:uiPriority w:val="0"/>
    <w:pPr>
      <w:pBdr>
        <w:bottom w:val="threeDEngrave" w:color="auto" w:sz="36" w:space="1"/>
      </w:pBdr>
      <w:tabs>
        <w:tab w:val="left" w:pos="420"/>
      </w:tabs>
      <w:spacing w:after="480"/>
      <w:ind w:left="420" w:right="709" w:hanging="420"/>
    </w:pPr>
    <w:rPr>
      <w:rFonts w:ascii="Arial" w:hAnsi="Arial" w:eastAsia="PMingLiU" w:cs="Times New Roman"/>
      <w:b/>
      <w:sz w:val="40"/>
      <w:lang w:val="en-US" w:eastAsia="zh-CN" w:bidi="ar-SA"/>
    </w:rPr>
  </w:style>
  <w:style w:type="paragraph" w:customStyle="1" w:styleId="630">
    <w:name w:val="数字编号列项（二级）"/>
    <w:qFormat/>
    <w:uiPriority w:val="0"/>
    <w:pPr>
      <w:tabs>
        <w:tab w:val="left" w:pos="1260"/>
      </w:tabs>
      <w:ind w:left="1259" w:hanging="419"/>
      <w:jc w:val="both"/>
    </w:pPr>
    <w:rPr>
      <w:rFonts w:ascii="宋体" w:hAnsi="Times New Roman" w:eastAsia="宋体" w:cs="Times New Roman"/>
      <w:sz w:val="21"/>
      <w:lang w:val="en-US" w:eastAsia="zh-CN" w:bidi="ar-SA"/>
    </w:rPr>
  </w:style>
  <w:style w:type="paragraph" w:customStyle="1" w:styleId="631">
    <w:name w:val="xl24"/>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Times New Roman"/>
      <w:b/>
      <w:bCs/>
      <w:kern w:val="0"/>
      <w:sz w:val="24"/>
      <w:szCs w:val="24"/>
    </w:rPr>
  </w:style>
  <w:style w:type="paragraph" w:customStyle="1" w:styleId="632">
    <w:name w:val="xl3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633">
    <w:name w:val="缺省文本"/>
    <w:basedOn w:val="1"/>
    <w:qFormat/>
    <w:uiPriority w:val="0"/>
    <w:pPr>
      <w:autoSpaceDE w:val="0"/>
      <w:autoSpaceDN w:val="0"/>
      <w:adjustRightInd w:val="0"/>
      <w:jc w:val="left"/>
    </w:pPr>
    <w:rPr>
      <w:rFonts w:ascii="Calibri" w:hAnsi="Calibri" w:eastAsia="宋体" w:cs="Times New Roman"/>
      <w:kern w:val="0"/>
      <w:sz w:val="24"/>
      <w:szCs w:val="24"/>
    </w:rPr>
  </w:style>
  <w:style w:type="paragraph" w:customStyle="1" w:styleId="634">
    <w:name w:val="Char Char1 Char"/>
    <w:basedOn w:val="1"/>
    <w:qFormat/>
    <w:uiPriority w:val="0"/>
    <w:pPr>
      <w:widowControl/>
      <w:jc w:val="left"/>
    </w:pPr>
    <w:rPr>
      <w:rFonts w:ascii="仿宋_GB2312" w:hAnsi="Calibri" w:eastAsia="仿宋_GB2312" w:cs="Times New Roman"/>
      <w:b/>
      <w:sz w:val="32"/>
      <w:szCs w:val="20"/>
    </w:rPr>
  </w:style>
  <w:style w:type="paragraph" w:customStyle="1" w:styleId="635">
    <w:name w:val="章标题"/>
    <w:next w:val="396"/>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636">
    <w:name w:val="xl49"/>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宋体" w:cs="Times New Roman"/>
      <w:b/>
      <w:bCs/>
      <w:kern w:val="0"/>
      <w:sz w:val="52"/>
      <w:szCs w:val="52"/>
    </w:rPr>
  </w:style>
  <w:style w:type="paragraph" w:customStyle="1" w:styleId="637">
    <w:name w:val="List Paragraph3"/>
    <w:basedOn w:val="1"/>
    <w:qFormat/>
    <w:uiPriority w:val="0"/>
    <w:pPr>
      <w:ind w:firstLine="420" w:firstLineChars="200"/>
    </w:pPr>
    <w:rPr>
      <w:rFonts w:ascii="Calibri" w:hAnsi="Calibri" w:eastAsia="宋体" w:cs="Times New Roman"/>
    </w:rPr>
  </w:style>
  <w:style w:type="paragraph" w:customStyle="1" w:styleId="638">
    <w:name w:val="a2"/>
    <w:basedOn w:val="1"/>
    <w:qFormat/>
    <w:uiPriority w:val="0"/>
    <w:pPr>
      <w:widowControl/>
      <w:spacing w:before="100" w:beforeAutospacing="1" w:after="100" w:afterAutospacing="1"/>
      <w:jc w:val="left"/>
    </w:pPr>
    <w:rPr>
      <w:rFonts w:ascii="Arial Unicode MS" w:hAnsi="Arial Unicode MS" w:eastAsia="宋体" w:cs="Times New Roman"/>
      <w:kern w:val="0"/>
      <w:sz w:val="24"/>
      <w:szCs w:val="24"/>
    </w:rPr>
  </w:style>
  <w:style w:type="paragraph" w:customStyle="1" w:styleId="639">
    <w:name w:val="樣式1"/>
    <w:basedOn w:val="640"/>
    <w:qFormat/>
    <w:uiPriority w:val="0"/>
    <w:pPr>
      <w:tabs>
        <w:tab w:val="left" w:pos="420"/>
        <w:tab w:val="left" w:pos="567"/>
        <w:tab w:val="left" w:pos="840"/>
        <w:tab w:val="left" w:pos="966"/>
        <w:tab w:val="left" w:pos="1800"/>
        <w:tab w:val="left" w:pos="2552"/>
      </w:tabs>
      <w:spacing w:before="40" w:after="40"/>
      <w:ind w:left="1276" w:hanging="284"/>
    </w:pPr>
    <w:rPr>
      <w:rFonts w:eastAsia="宋体"/>
    </w:rPr>
  </w:style>
  <w:style w:type="paragraph" w:customStyle="1" w:styleId="640">
    <w:name w:val="Bullet"/>
    <w:basedOn w:val="1"/>
    <w:qFormat/>
    <w:uiPriority w:val="0"/>
    <w:pPr>
      <w:widowControl/>
      <w:tabs>
        <w:tab w:val="left" w:pos="420"/>
        <w:tab w:val="left" w:pos="2552"/>
      </w:tabs>
      <w:snapToGrid w:val="0"/>
      <w:spacing w:before="60" w:after="60"/>
      <w:ind w:left="420" w:right="709" w:hanging="420"/>
      <w:jc w:val="left"/>
    </w:pPr>
    <w:rPr>
      <w:rFonts w:ascii="Calibri" w:hAnsi="Calibri" w:eastAsia="2OcuAe" w:cs="Times New Roman"/>
      <w:spacing w:val="2"/>
      <w:kern w:val="0"/>
      <w:sz w:val="20"/>
      <w:szCs w:val="20"/>
      <w:lang w:eastAsia="zh-TW"/>
    </w:rPr>
  </w:style>
  <w:style w:type="paragraph" w:customStyle="1" w:styleId="641">
    <w:name w:val="Char Char Char Char Char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642">
    <w:name w:val="Char Char2 Char"/>
    <w:basedOn w:val="1"/>
    <w:qFormat/>
    <w:uiPriority w:val="0"/>
    <w:pPr>
      <w:keepNext/>
      <w:keepLines/>
      <w:pageBreakBefore/>
      <w:widowControl/>
      <w:tabs>
        <w:tab w:val="left" w:pos="845"/>
      </w:tabs>
      <w:ind w:left="845" w:hanging="420"/>
      <w:jc w:val="left"/>
    </w:pPr>
    <w:rPr>
      <w:rFonts w:ascii="Tahoma" w:hAnsi="Tahoma" w:eastAsia="宋体" w:cs="Times New Roman"/>
      <w:sz w:val="24"/>
      <w:szCs w:val="20"/>
    </w:rPr>
  </w:style>
  <w:style w:type="paragraph" w:customStyle="1" w:styleId="643">
    <w:name w:val="部分1"/>
    <w:basedOn w:val="1"/>
    <w:qFormat/>
    <w:uiPriority w:val="0"/>
    <w:pPr>
      <w:keepNext/>
      <w:pageBreakBefore/>
      <w:tabs>
        <w:tab w:val="left" w:pos="720"/>
      </w:tabs>
      <w:spacing w:line="360" w:lineRule="auto"/>
      <w:jc w:val="center"/>
      <w:outlineLvl w:val="0"/>
    </w:pPr>
    <w:rPr>
      <w:rFonts w:ascii="Calibri" w:hAnsi="Calibri" w:eastAsia="黑体" w:cs="Times New Roman"/>
      <w:b/>
      <w:kern w:val="44"/>
      <w:sz w:val="36"/>
      <w:szCs w:val="20"/>
    </w:rPr>
  </w:style>
  <w:style w:type="paragraph" w:customStyle="1" w:styleId="644">
    <w:name w:val="标书正文格式 Char Char"/>
    <w:qFormat/>
    <w:uiPriority w:val="0"/>
    <w:pPr>
      <w:spacing w:line="360" w:lineRule="auto"/>
      <w:ind w:firstLine="200" w:firstLineChars="200"/>
    </w:pPr>
    <w:rPr>
      <w:rFonts w:ascii="Times New Roman" w:hAnsi="Times New Roman" w:eastAsia="仿宋_GB2312" w:cs="Times New Roman"/>
      <w:kern w:val="2"/>
      <w:sz w:val="30"/>
      <w:szCs w:val="24"/>
      <w:lang w:val="en-US" w:eastAsia="zh-CN" w:bidi="ar-SA"/>
    </w:rPr>
  </w:style>
  <w:style w:type="paragraph" w:customStyle="1" w:styleId="645">
    <w:name w:val="Char2"/>
    <w:basedOn w:val="1"/>
    <w:qFormat/>
    <w:uiPriority w:val="0"/>
    <w:pPr>
      <w:widowControl/>
      <w:jc w:val="left"/>
    </w:pPr>
    <w:rPr>
      <w:rFonts w:ascii="Calibri" w:hAnsi="Calibri" w:eastAsia="仿宋_GB2312" w:cs="Times New Roman"/>
      <w:sz w:val="28"/>
      <w:szCs w:val="20"/>
    </w:rPr>
  </w:style>
  <w:style w:type="paragraph" w:customStyle="1" w:styleId="646">
    <w:name w:val="b"/>
    <w:basedOn w:val="1"/>
    <w:qFormat/>
    <w:uiPriority w:val="0"/>
    <w:pPr>
      <w:widowControl/>
      <w:adjustRightInd w:val="0"/>
      <w:snapToGrid w:val="0"/>
      <w:jc w:val="center"/>
    </w:pPr>
    <w:rPr>
      <w:rFonts w:ascii="仿宋_GB2312" w:hAnsi="Calibri" w:eastAsia="仿宋_GB2312" w:cs="Times New Roman"/>
      <w:sz w:val="24"/>
      <w:szCs w:val="24"/>
    </w:rPr>
  </w:style>
  <w:style w:type="paragraph" w:customStyle="1" w:styleId="647">
    <w:name w:val="正文文本缩进2"/>
    <w:basedOn w:val="1"/>
    <w:qFormat/>
    <w:uiPriority w:val="0"/>
    <w:pPr>
      <w:widowControl/>
      <w:spacing w:line="200" w:lineRule="atLeast"/>
      <w:ind w:firstLine="301"/>
      <w:jc w:val="left"/>
    </w:pPr>
    <w:rPr>
      <w:rFonts w:ascii="宋体" w:hAnsi="Courier New" w:eastAsia="宋体" w:cs="Times New Roman"/>
      <w:spacing w:val="-4"/>
      <w:sz w:val="18"/>
      <w:szCs w:val="20"/>
    </w:rPr>
  </w:style>
  <w:style w:type="paragraph" w:customStyle="1" w:styleId="648">
    <w:name w:val="content"/>
    <w:basedOn w:val="1"/>
    <w:qFormat/>
    <w:uiPriority w:val="0"/>
    <w:pPr>
      <w:widowControl/>
      <w:spacing w:before="100" w:beforeAutospacing="1" w:after="100" w:afterAutospacing="1" w:line="360" w:lineRule="atLeast"/>
      <w:jc w:val="left"/>
    </w:pPr>
    <w:rPr>
      <w:rFonts w:ascii="宋体" w:hAnsi="宋体" w:eastAsia="宋体" w:cs="Times New Roman"/>
      <w:color w:val="333333"/>
      <w:kern w:val="0"/>
      <w:szCs w:val="21"/>
    </w:rPr>
  </w:style>
  <w:style w:type="paragraph" w:customStyle="1" w:styleId="649">
    <w:name w:val="xl3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Calibri" w:hAnsi="Calibri" w:eastAsia="宋体" w:cs="Times New Roman"/>
      <w:b/>
      <w:bCs/>
      <w:kern w:val="0"/>
      <w:sz w:val="24"/>
      <w:szCs w:val="24"/>
    </w:rPr>
  </w:style>
  <w:style w:type="paragraph" w:customStyle="1" w:styleId="650">
    <w:name w:val="xl4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52"/>
      <w:szCs w:val="52"/>
    </w:rPr>
  </w:style>
  <w:style w:type="paragraph" w:customStyle="1" w:styleId="651">
    <w:name w:val="xl6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Arial" w:hAnsi="Arial" w:eastAsia="宋体" w:cs="Arial"/>
      <w:kern w:val="0"/>
      <w:sz w:val="32"/>
      <w:szCs w:val="32"/>
    </w:rPr>
  </w:style>
  <w:style w:type="paragraph" w:customStyle="1" w:styleId="652">
    <w:name w:val="中等深浅网格 1 - 强调文字颜色 21"/>
    <w:basedOn w:val="1"/>
    <w:qFormat/>
    <w:uiPriority w:val="0"/>
    <w:pPr>
      <w:widowControl/>
      <w:spacing w:after="200" w:line="276" w:lineRule="auto"/>
      <w:ind w:left="720"/>
      <w:contextualSpacing/>
      <w:jc w:val="left"/>
    </w:pPr>
    <w:rPr>
      <w:rFonts w:ascii="Calibri" w:hAnsi="Calibri" w:eastAsia="宋体" w:cs="Times New Roman"/>
      <w:kern w:val="0"/>
      <w:sz w:val="22"/>
      <w:lang w:eastAsia="en-US"/>
    </w:rPr>
  </w:style>
  <w:style w:type="paragraph" w:customStyle="1" w:styleId="653">
    <w:name w:val="表身"/>
    <w:basedOn w:val="1"/>
    <w:qFormat/>
    <w:uiPriority w:val="0"/>
    <w:pPr>
      <w:autoSpaceDE w:val="0"/>
      <w:autoSpaceDN w:val="0"/>
      <w:adjustRightInd w:val="0"/>
      <w:jc w:val="left"/>
    </w:pPr>
    <w:rPr>
      <w:rFonts w:ascii="Calibri" w:hAnsi="Calibri" w:eastAsia="宋体" w:cs="Times New Roman"/>
      <w:kern w:val="0"/>
      <w:sz w:val="18"/>
      <w:szCs w:val="20"/>
    </w:rPr>
  </w:style>
  <w:style w:type="paragraph" w:customStyle="1" w:styleId="654">
    <w:name w:val="font10"/>
    <w:basedOn w:val="1"/>
    <w:qFormat/>
    <w:uiPriority w:val="0"/>
    <w:pPr>
      <w:widowControl/>
      <w:spacing w:before="100" w:beforeAutospacing="1" w:after="100" w:afterAutospacing="1"/>
      <w:jc w:val="left"/>
    </w:pPr>
    <w:rPr>
      <w:rFonts w:ascii="Calibri" w:hAnsi="Calibri" w:eastAsia="宋体" w:cs="Times New Roman"/>
      <w:color w:val="FF0000"/>
      <w:kern w:val="0"/>
      <w:sz w:val="16"/>
      <w:szCs w:val="16"/>
    </w:rPr>
  </w:style>
  <w:style w:type="paragraph" w:customStyle="1" w:styleId="655">
    <w:name w:val="说明书3级标题"/>
    <w:basedOn w:val="1"/>
    <w:next w:val="1"/>
    <w:qFormat/>
    <w:uiPriority w:val="0"/>
    <w:pPr>
      <w:tabs>
        <w:tab w:val="left" w:pos="1572"/>
      </w:tabs>
      <w:spacing w:line="360" w:lineRule="auto"/>
      <w:ind w:left="1572" w:hanging="720"/>
    </w:pPr>
    <w:rPr>
      <w:rFonts w:ascii="Calibri" w:hAnsi="Calibri" w:eastAsia="黑体" w:cs="Times New Roman"/>
      <w:sz w:val="24"/>
      <w:szCs w:val="24"/>
    </w:rPr>
  </w:style>
  <w:style w:type="paragraph" w:customStyle="1" w:styleId="656">
    <w:name w:val="pchart_bodycm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7">
    <w:name w:val="xl6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Arial Unicode MS" w:hAnsi="Arial Unicode MS" w:eastAsia="宋体" w:cs="Times New Roman"/>
      <w:kern w:val="0"/>
      <w:sz w:val="32"/>
      <w:szCs w:val="32"/>
    </w:rPr>
  </w:style>
  <w:style w:type="paragraph" w:customStyle="1" w:styleId="658">
    <w:name w:val="tableheading"/>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9">
    <w:name w:val="xl47"/>
    <w:basedOn w:val="1"/>
    <w:qFormat/>
    <w:uiPriority w:val="0"/>
    <w:pPr>
      <w:widowControl/>
      <w:pBdr>
        <w:top w:val="single" w:color="auto" w:sz="4" w:space="0"/>
        <w:left w:val="single" w:color="auto" w:sz="8" w:space="0"/>
        <w:bottom w:val="single" w:color="auto" w:sz="8" w:space="0"/>
      </w:pBdr>
      <w:spacing w:before="100" w:beforeAutospacing="1" w:after="100" w:afterAutospacing="1"/>
      <w:jc w:val="center"/>
      <w:textAlignment w:val="center"/>
    </w:pPr>
    <w:rPr>
      <w:rFonts w:ascii="Arial Unicode MS" w:hAnsi="Arial Unicode MS" w:eastAsia="宋体" w:cs="Times New Roman"/>
      <w:b/>
      <w:bCs/>
      <w:kern w:val="0"/>
      <w:sz w:val="52"/>
      <w:szCs w:val="52"/>
    </w:rPr>
  </w:style>
  <w:style w:type="paragraph" w:customStyle="1" w:styleId="660">
    <w:name w:val="B标书正文（后加）"/>
    <w:qFormat/>
    <w:uiPriority w:val="0"/>
    <w:pPr>
      <w:spacing w:after="240" w:line="360" w:lineRule="auto"/>
      <w:ind w:firstLine="425" w:firstLineChars="177"/>
      <w:jc w:val="both"/>
    </w:pPr>
    <w:rPr>
      <w:rFonts w:ascii="仿宋" w:hAnsi="仿宋" w:eastAsia="仿宋" w:cs="Times New Roman"/>
      <w:color w:val="000000"/>
      <w:kern w:val="2"/>
      <w:sz w:val="24"/>
      <w:szCs w:val="24"/>
      <w:lang w:val="en-US" w:eastAsia="zh-CN" w:bidi="ar-SA"/>
    </w:rPr>
  </w:style>
  <w:style w:type="paragraph" w:customStyle="1" w:styleId="661">
    <w:name w:val="Pa10"/>
    <w:basedOn w:val="1"/>
    <w:next w:val="1"/>
    <w:qFormat/>
    <w:uiPriority w:val="0"/>
    <w:pPr>
      <w:widowControl/>
      <w:autoSpaceDE w:val="0"/>
      <w:autoSpaceDN w:val="0"/>
      <w:adjustRightInd w:val="0"/>
      <w:spacing w:before="20" w:line="136" w:lineRule="atLeast"/>
      <w:jc w:val="left"/>
    </w:pPr>
    <w:rPr>
      <w:rFonts w:ascii="Stone Sans" w:hAnsi="Stone Sans" w:eastAsia="宋体" w:cs="Times New Roman"/>
      <w:kern w:val="0"/>
      <w:sz w:val="24"/>
      <w:szCs w:val="24"/>
    </w:rPr>
  </w:style>
  <w:style w:type="paragraph" w:customStyle="1" w:styleId="662">
    <w:name w:val="标题3级"/>
    <w:basedOn w:val="6"/>
    <w:qFormat/>
    <w:uiPriority w:val="0"/>
    <w:pPr>
      <w:numPr>
        <w:ilvl w:val="2"/>
        <w:numId w:val="4"/>
      </w:numPr>
      <w:tabs>
        <w:tab w:val="left" w:pos="425"/>
        <w:tab w:val="left" w:pos="851"/>
        <w:tab w:val="left" w:pos="902"/>
        <w:tab w:val="clear" w:pos="567"/>
      </w:tabs>
      <w:spacing w:beforeLines="0"/>
      <w:ind w:firstLine="100" w:firstLineChars="100"/>
    </w:pPr>
    <w:rPr>
      <w:rFonts w:eastAsia="宋体"/>
      <w:bCs w:val="0"/>
      <w:color w:val="000000"/>
      <w:sz w:val="32"/>
      <w:szCs w:val="20"/>
    </w:rPr>
  </w:style>
  <w:style w:type="paragraph" w:customStyle="1" w:styleId="663">
    <w:name w:val="Pa11"/>
    <w:basedOn w:val="1"/>
    <w:next w:val="1"/>
    <w:qFormat/>
    <w:uiPriority w:val="0"/>
    <w:pPr>
      <w:autoSpaceDE w:val="0"/>
      <w:autoSpaceDN w:val="0"/>
      <w:adjustRightInd w:val="0"/>
      <w:spacing w:line="161" w:lineRule="atLeast"/>
      <w:jc w:val="left"/>
    </w:pPr>
    <w:rPr>
      <w:rFonts w:ascii="HP Simplified Hans Light" w:hAnsi="Calibri" w:eastAsia="HP Simplified Hans Light" w:cs="Times New Roman"/>
      <w:kern w:val="0"/>
      <w:sz w:val="24"/>
      <w:szCs w:val="24"/>
    </w:rPr>
  </w:style>
  <w:style w:type="paragraph" w:customStyle="1" w:styleId="664">
    <w:name w:val="TOC Heading1"/>
    <w:basedOn w:val="4"/>
    <w:next w:val="1"/>
    <w:qFormat/>
    <w:uiPriority w:val="0"/>
    <w:pPr>
      <w:tabs>
        <w:tab w:val="clear" w:pos="1440"/>
      </w:tabs>
      <w:spacing w:beforeLines="0" w:line="276" w:lineRule="auto"/>
      <w:jc w:val="left"/>
      <w:outlineLvl w:val="9"/>
    </w:pPr>
    <w:rPr>
      <w:rFonts w:ascii="Cambria" w:hAnsi="Cambria" w:eastAsia="宋体"/>
      <w:color w:val="365F91"/>
      <w:kern w:val="0"/>
      <w:sz w:val="28"/>
      <w:szCs w:val="28"/>
    </w:rPr>
  </w:style>
  <w:style w:type="paragraph" w:customStyle="1" w:styleId="665">
    <w:name w:val="xl39"/>
    <w:basedOn w:val="1"/>
    <w:qFormat/>
    <w:uiPriority w:val="0"/>
    <w:pPr>
      <w:widowControl/>
      <w:spacing w:before="100" w:beforeAutospacing="1" w:after="100" w:afterAutospacing="1"/>
      <w:jc w:val="left"/>
    </w:pPr>
    <w:rPr>
      <w:rFonts w:ascii="宋体" w:hAnsi="宋体" w:eastAsia="宋体" w:cs="Times New Roman"/>
      <w:b/>
      <w:bCs/>
      <w:kern w:val="0"/>
      <w:sz w:val="24"/>
      <w:szCs w:val="24"/>
    </w:rPr>
  </w:style>
  <w:style w:type="paragraph" w:customStyle="1" w:styleId="666">
    <w:name w:val="表项"/>
    <w:basedOn w:val="1"/>
    <w:qFormat/>
    <w:uiPriority w:val="0"/>
    <w:pPr>
      <w:autoSpaceDE w:val="0"/>
      <w:autoSpaceDN w:val="0"/>
      <w:adjustRightInd w:val="0"/>
      <w:spacing w:line="300" w:lineRule="auto"/>
      <w:jc w:val="center"/>
    </w:pPr>
    <w:rPr>
      <w:rFonts w:ascii="Arial" w:hAnsi="Arial" w:eastAsia="黑体" w:cs="Times New Roman"/>
      <w:kern w:val="0"/>
      <w:sz w:val="18"/>
      <w:szCs w:val="20"/>
    </w:rPr>
  </w:style>
  <w:style w:type="paragraph" w:customStyle="1" w:styleId="667">
    <w:name w:val="No Spacing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68">
    <w:name w:val="b13"/>
    <w:basedOn w:val="1"/>
    <w:qFormat/>
    <w:uiPriority w:val="0"/>
    <w:pPr>
      <w:widowControl/>
      <w:autoSpaceDE w:val="0"/>
      <w:autoSpaceDN w:val="0"/>
      <w:adjustRightInd w:val="0"/>
      <w:spacing w:after="120"/>
      <w:jc w:val="left"/>
      <w:textAlignment w:val="bottom"/>
    </w:pPr>
    <w:rPr>
      <w:rFonts w:ascii="Calibri" w:hAnsi="Calibri" w:eastAsia="華康粗圓體" w:cs="Times New Roman"/>
      <w:kern w:val="0"/>
      <w:sz w:val="26"/>
      <w:szCs w:val="20"/>
      <w:lang w:eastAsia="zh-TW"/>
    </w:rPr>
  </w:style>
  <w:style w:type="paragraph" w:customStyle="1" w:styleId="669">
    <w:name w:val="xl4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Times New Roman"/>
      <w:kern w:val="0"/>
      <w:sz w:val="52"/>
      <w:szCs w:val="52"/>
    </w:rPr>
  </w:style>
  <w:style w:type="paragraph" w:customStyle="1" w:styleId="670">
    <w:name w:val="xl3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4"/>
      <w:szCs w:val="24"/>
    </w:rPr>
  </w:style>
  <w:style w:type="paragraph" w:customStyle="1" w:styleId="671">
    <w:name w:val="itemlis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2">
    <w:name w:val="Char Char Char"/>
    <w:basedOn w:val="1"/>
    <w:qFormat/>
    <w:uiPriority w:val="0"/>
    <w:pPr>
      <w:widowControl/>
      <w:jc w:val="left"/>
    </w:pPr>
    <w:rPr>
      <w:rFonts w:ascii="Tahoma" w:hAnsi="Tahoma" w:eastAsia="宋体" w:cs="Times New Roman"/>
      <w:sz w:val="24"/>
      <w:szCs w:val="20"/>
    </w:rPr>
  </w:style>
  <w:style w:type="paragraph" w:customStyle="1" w:styleId="673">
    <w:name w:val="小四 段落 宋体 Char Char Char"/>
    <w:basedOn w:val="17"/>
    <w:qFormat/>
    <w:uiPriority w:val="0"/>
    <w:pPr>
      <w:tabs>
        <w:tab w:val="left" w:pos="1320"/>
      </w:tabs>
      <w:spacing w:line="360" w:lineRule="auto"/>
      <w:ind w:left="0" w:right="-33" w:firstLine="480" w:firstLineChars="200"/>
      <w:jc w:val="left"/>
    </w:pPr>
    <w:rPr>
      <w:sz w:val="24"/>
      <w:szCs w:val="24"/>
    </w:rPr>
  </w:style>
  <w:style w:type="paragraph" w:customStyle="1" w:styleId="674">
    <w:name w:val="xl55"/>
    <w:basedOn w:val="1"/>
    <w:qFormat/>
    <w:uiPriority w:val="0"/>
    <w:pPr>
      <w:widowControl/>
      <w:pBdr>
        <w:bottom w:val="single" w:color="auto" w:sz="8" w:space="0"/>
        <w:right w:val="single" w:color="auto" w:sz="8" w:space="0"/>
      </w:pBdr>
      <w:spacing w:before="100" w:beforeAutospacing="1" w:after="100" w:afterAutospacing="1"/>
      <w:jc w:val="left"/>
    </w:pPr>
    <w:rPr>
      <w:rFonts w:ascii="Arial Unicode MS" w:hAnsi="Arial Unicode MS" w:eastAsia="宋体" w:cs="Times New Roman"/>
      <w:kern w:val="0"/>
      <w:sz w:val="24"/>
      <w:szCs w:val="24"/>
    </w:rPr>
  </w:style>
  <w:style w:type="paragraph" w:customStyle="1" w:styleId="675">
    <w:name w:val="font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6">
    <w:name w:val="ordinary-output"/>
    <w:basedOn w:val="1"/>
    <w:qFormat/>
    <w:uiPriority w:val="0"/>
    <w:pPr>
      <w:widowControl/>
      <w:spacing w:before="100" w:beforeAutospacing="1" w:after="75" w:line="330" w:lineRule="atLeast"/>
      <w:jc w:val="left"/>
    </w:pPr>
    <w:rPr>
      <w:rFonts w:ascii="宋体" w:hAnsi="宋体" w:eastAsia="宋体" w:cs="宋体"/>
      <w:color w:val="333333"/>
      <w:kern w:val="0"/>
      <w:sz w:val="27"/>
      <w:szCs w:val="27"/>
    </w:rPr>
  </w:style>
  <w:style w:type="paragraph" w:customStyle="1" w:styleId="677">
    <w:name w:val="字母编号列项（一级）"/>
    <w:qFormat/>
    <w:uiPriority w:val="0"/>
    <w:pPr>
      <w:tabs>
        <w:tab w:val="left" w:pos="840"/>
      </w:tabs>
      <w:ind w:left="839" w:hanging="419"/>
      <w:jc w:val="both"/>
    </w:pPr>
    <w:rPr>
      <w:rFonts w:ascii="宋体" w:hAnsi="Times New Roman" w:eastAsia="宋体" w:cs="Times New Roman"/>
      <w:sz w:val="21"/>
      <w:lang w:val="en-US" w:eastAsia="zh-CN" w:bidi="ar-SA"/>
    </w:rPr>
  </w:style>
  <w:style w:type="paragraph" w:customStyle="1" w:styleId="678">
    <w:name w:val="xl56"/>
    <w:basedOn w:val="1"/>
    <w:qFormat/>
    <w:uiPriority w:val="0"/>
    <w:pPr>
      <w:widowControl/>
      <w:pBdr>
        <w:top w:val="single" w:color="auto" w:sz="4" w:space="0"/>
        <w:left w:val="single" w:color="auto" w:sz="8" w:space="0"/>
        <w:bottom w:val="single" w:color="auto" w:sz="4" w:space="0"/>
      </w:pBdr>
      <w:spacing w:before="100" w:beforeAutospacing="1" w:after="100" w:afterAutospacing="1"/>
      <w:jc w:val="left"/>
      <w:textAlignment w:val="center"/>
    </w:pPr>
    <w:rPr>
      <w:rFonts w:ascii="Arial" w:hAnsi="Arial" w:eastAsia="宋体" w:cs="Arial"/>
      <w:kern w:val="0"/>
      <w:sz w:val="20"/>
      <w:szCs w:val="20"/>
    </w:rPr>
  </w:style>
  <w:style w:type="paragraph" w:customStyle="1" w:styleId="679">
    <w:name w:val="Char1 Char Char Char Char Char Char"/>
    <w:basedOn w:val="1"/>
    <w:qFormat/>
    <w:uiPriority w:val="0"/>
    <w:rPr>
      <w:rFonts w:ascii="Calibri" w:hAnsi="Calibri" w:eastAsia="宋体" w:cs="Times New Roman"/>
      <w:szCs w:val="20"/>
    </w:rPr>
  </w:style>
  <w:style w:type="paragraph" w:customStyle="1" w:styleId="680">
    <w:name w:val="正文文本1"/>
    <w:basedOn w:val="1"/>
    <w:qFormat/>
    <w:uiPriority w:val="0"/>
    <w:pPr>
      <w:spacing w:after="120"/>
    </w:pPr>
    <w:rPr>
      <w:rFonts w:ascii="Calibri" w:hAnsi="Calibri" w:eastAsia="宋体" w:cs="Times New Roman"/>
      <w:kern w:val="0"/>
      <w:sz w:val="20"/>
      <w:szCs w:val="24"/>
    </w:rPr>
  </w:style>
  <w:style w:type="paragraph" w:customStyle="1" w:styleId="681">
    <w:name w:val="pied de page r閒.2"/>
    <w:qFormat/>
    <w:uiPriority w:val="0"/>
    <w:pPr>
      <w:spacing w:before="140"/>
      <w:jc w:val="center"/>
    </w:pPr>
    <w:rPr>
      <w:rFonts w:ascii="Helvetica" w:hAnsi="Helvetica" w:eastAsia="宋体" w:cs="Times New Roman"/>
      <w:caps/>
      <w:lang w:val="en-US" w:eastAsia="en-US" w:bidi="ar-SA"/>
    </w:rPr>
  </w:style>
  <w:style w:type="paragraph" w:customStyle="1" w:styleId="682">
    <w:name w:val="List 1"/>
    <w:basedOn w:val="1"/>
    <w:qFormat/>
    <w:uiPriority w:val="0"/>
    <w:pPr>
      <w:widowControl/>
      <w:overflowPunct w:val="0"/>
      <w:autoSpaceDE w:val="0"/>
      <w:autoSpaceDN w:val="0"/>
      <w:adjustRightInd w:val="0"/>
      <w:spacing w:line="360" w:lineRule="auto"/>
      <w:ind w:left="2520" w:hanging="360"/>
      <w:jc w:val="left"/>
      <w:textAlignment w:val="baseline"/>
    </w:pPr>
    <w:rPr>
      <w:rFonts w:ascii="宋体" w:hAnsi="Calibri" w:eastAsia="宋体" w:cs="Times New Roman"/>
      <w:kern w:val="0"/>
      <w:sz w:val="24"/>
      <w:szCs w:val="20"/>
    </w:rPr>
  </w:style>
  <w:style w:type="paragraph" w:customStyle="1" w:styleId="683">
    <w:name w:val="xl22"/>
    <w:basedOn w:val="1"/>
    <w:qFormat/>
    <w:uiPriority w:val="0"/>
    <w:pPr>
      <w:widowControl/>
      <w:pBdr>
        <w:top w:val="single" w:color="auto" w:sz="8" w:space="0"/>
        <w:left w:val="single" w:color="auto" w:sz="8" w:space="0"/>
      </w:pBdr>
      <w:shd w:val="clear" w:color="auto" w:fill="FFFFFF"/>
      <w:spacing w:before="100" w:beforeAutospacing="1" w:after="100" w:afterAutospacing="1"/>
      <w:jc w:val="left"/>
      <w:textAlignment w:val="bottom"/>
    </w:pPr>
    <w:rPr>
      <w:rFonts w:ascii="宋体" w:hAnsi="宋体" w:eastAsia="宋体" w:cs="Times New Roman"/>
      <w:b/>
      <w:bCs/>
      <w:kern w:val="0"/>
      <w:sz w:val="44"/>
      <w:szCs w:val="44"/>
    </w:rPr>
  </w:style>
  <w:style w:type="paragraph" w:customStyle="1" w:styleId="684">
    <w:name w:val="样式 样式 标题 4H4PIM 4h4bulletblbb标题 4 Charsect 1.2.3.4Ref Head... + ..."/>
    <w:basedOn w:val="1"/>
    <w:qFormat/>
    <w:uiPriority w:val="0"/>
    <w:pPr>
      <w:keepNext/>
      <w:keepLines/>
      <w:spacing w:beforeLines="50" w:afterLines="50" w:line="360" w:lineRule="auto"/>
      <w:ind w:left="3011" w:hanging="851"/>
      <w:jc w:val="left"/>
      <w:outlineLvl w:val="3"/>
    </w:pPr>
    <w:rPr>
      <w:rFonts w:ascii="黑体" w:hAnsi="宋体" w:eastAsia="黑体" w:cs="Times New Roman"/>
      <w:b/>
      <w:spacing w:val="-5"/>
      <w:sz w:val="28"/>
      <w:szCs w:val="20"/>
    </w:rPr>
  </w:style>
  <w:style w:type="paragraph" w:customStyle="1" w:styleId="685">
    <w:name w:val="Char Char19"/>
    <w:basedOn w:val="1"/>
    <w:qFormat/>
    <w:uiPriority w:val="0"/>
    <w:pPr>
      <w:widowControl/>
      <w:jc w:val="left"/>
    </w:pPr>
    <w:rPr>
      <w:rFonts w:ascii="Tahoma" w:hAnsi="Tahoma" w:eastAsia="宋体" w:cs="Times New Roman"/>
      <w:sz w:val="24"/>
      <w:szCs w:val="20"/>
    </w:rPr>
  </w:style>
  <w:style w:type="paragraph" w:customStyle="1" w:styleId="686">
    <w:name w:val="xl5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w:hAnsi="Arial" w:eastAsia="宋体" w:cs="Arial"/>
      <w:kern w:val="0"/>
      <w:sz w:val="20"/>
      <w:szCs w:val="20"/>
    </w:rPr>
  </w:style>
  <w:style w:type="paragraph" w:customStyle="1" w:styleId="687">
    <w:name w:val="样式 首行缩进:  2 字符"/>
    <w:basedOn w:val="1"/>
    <w:qFormat/>
    <w:uiPriority w:val="0"/>
    <w:pPr>
      <w:spacing w:line="400" w:lineRule="exact"/>
      <w:ind w:firstLine="200" w:firstLineChars="200"/>
    </w:pPr>
    <w:rPr>
      <w:rFonts w:ascii="Times New Roman" w:hAnsi="Times New Roman" w:eastAsia="宋体" w:cs="宋体"/>
      <w:sz w:val="24"/>
      <w:szCs w:val="24"/>
    </w:rPr>
  </w:style>
  <w:style w:type="paragraph" w:customStyle="1" w:styleId="688">
    <w:name w:val="10号线正文"/>
    <w:basedOn w:val="1"/>
    <w:qFormat/>
    <w:uiPriority w:val="0"/>
    <w:pPr>
      <w:widowControl/>
      <w:spacing w:line="360" w:lineRule="auto"/>
      <w:ind w:firstLine="482" w:firstLineChars="200"/>
      <w:jc w:val="left"/>
    </w:pPr>
    <w:rPr>
      <w:rFonts w:ascii="宋体" w:hAnsi="Calibri" w:eastAsia="宋体" w:cs="宋体"/>
      <w:sz w:val="24"/>
      <w:szCs w:val="24"/>
    </w:rPr>
  </w:style>
  <w:style w:type="paragraph" w:customStyle="1" w:styleId="689">
    <w:name w:val="TOC 标题2"/>
    <w:basedOn w:val="4"/>
    <w:next w:val="1"/>
    <w:qFormat/>
    <w:uiPriority w:val="0"/>
    <w:pPr>
      <w:tabs>
        <w:tab w:val="clear" w:pos="1440"/>
      </w:tabs>
      <w:spacing w:beforeLines="0" w:line="276" w:lineRule="auto"/>
      <w:jc w:val="left"/>
      <w:outlineLvl w:val="9"/>
    </w:pPr>
    <w:rPr>
      <w:rFonts w:ascii="Cambria" w:hAnsi="Cambria" w:eastAsia="宋体"/>
      <w:color w:val="365F90"/>
      <w:kern w:val="0"/>
      <w:sz w:val="28"/>
      <w:szCs w:val="28"/>
    </w:rPr>
  </w:style>
  <w:style w:type="paragraph" w:customStyle="1" w:styleId="690">
    <w:name w:val="xl51"/>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ascii="Arial" w:hAnsi="Arial" w:eastAsia="宋体" w:cs="Arial"/>
      <w:color w:val="000000"/>
      <w:kern w:val="0"/>
      <w:sz w:val="20"/>
      <w:szCs w:val="20"/>
    </w:rPr>
  </w:style>
  <w:style w:type="paragraph" w:customStyle="1" w:styleId="691">
    <w:name w:val="样式 Verdana 首行缩进:  0.74 厘米"/>
    <w:basedOn w:val="1"/>
    <w:qFormat/>
    <w:uiPriority w:val="0"/>
    <w:pPr>
      <w:widowControl/>
      <w:jc w:val="left"/>
    </w:pPr>
    <w:rPr>
      <w:rFonts w:ascii="Verdana" w:hAnsi="Verdana" w:eastAsia="宋体" w:cs="Times New Roman"/>
      <w:szCs w:val="20"/>
    </w:rPr>
  </w:style>
  <w:style w:type="paragraph" w:customStyle="1" w:styleId="692">
    <w:name w:val="集群正文"/>
    <w:basedOn w:val="1"/>
    <w:qFormat/>
    <w:uiPriority w:val="0"/>
    <w:pPr>
      <w:spacing w:beforeLines="50" w:line="312" w:lineRule="auto"/>
      <w:ind w:firstLine="480" w:firstLineChars="200"/>
    </w:pPr>
    <w:rPr>
      <w:rFonts w:ascii="Calibri" w:hAnsi="Calibri" w:eastAsia="宋体" w:cs="Times New Roman"/>
      <w:sz w:val="28"/>
      <w:szCs w:val="20"/>
    </w:rPr>
  </w:style>
  <w:style w:type="paragraph" w:customStyle="1" w:styleId="693">
    <w:name w:val="引用1"/>
    <w:qFormat/>
    <w:uiPriority w:val="0"/>
    <w:pPr>
      <w:spacing w:after="160" w:line="240" w:lineRule="atLeast"/>
    </w:pPr>
    <w:rPr>
      <w:rFonts w:ascii="Arial" w:hAnsi="Arial" w:eastAsia="宋体" w:cs="Times New Roman"/>
      <w:i/>
      <w:color w:val="808080"/>
      <w:lang w:val="en-US" w:eastAsia="en-US" w:bidi="ar-SA"/>
    </w:rPr>
  </w:style>
  <w:style w:type="paragraph" w:customStyle="1" w:styleId="694">
    <w:name w:val="xl34"/>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695">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textAlignment w:val="center"/>
    </w:pPr>
    <w:rPr>
      <w:rFonts w:ascii="Arial Unicode MS" w:hAnsi="Arial Unicode MS" w:eastAsia="宋体" w:cs="Times New Roman"/>
      <w:b/>
      <w:bCs/>
      <w:kern w:val="0"/>
      <w:sz w:val="52"/>
      <w:szCs w:val="52"/>
    </w:rPr>
  </w:style>
  <w:style w:type="paragraph" w:customStyle="1" w:styleId="696">
    <w:name w:val="font9"/>
    <w:basedOn w:val="1"/>
    <w:qFormat/>
    <w:uiPriority w:val="0"/>
    <w:pPr>
      <w:widowControl/>
      <w:spacing w:before="100" w:beforeAutospacing="1" w:after="100" w:afterAutospacing="1"/>
      <w:jc w:val="left"/>
    </w:pPr>
    <w:rPr>
      <w:rFonts w:ascii="Arial" w:hAnsi="Arial" w:eastAsia="宋体" w:cs="Arial"/>
      <w:color w:val="000000"/>
      <w:kern w:val="0"/>
      <w:sz w:val="20"/>
      <w:szCs w:val="20"/>
    </w:rPr>
  </w:style>
  <w:style w:type="paragraph" w:customStyle="1" w:styleId="697">
    <w:name w:val="技术方案正文样式"/>
    <w:basedOn w:val="1"/>
    <w:qFormat/>
    <w:uiPriority w:val="0"/>
    <w:pPr>
      <w:autoSpaceDE w:val="0"/>
      <w:autoSpaceDN w:val="0"/>
      <w:adjustRightInd w:val="0"/>
      <w:spacing w:line="400" w:lineRule="exact"/>
      <w:ind w:firstLine="480" w:firstLineChars="200"/>
    </w:pPr>
    <w:rPr>
      <w:rFonts w:ascii="宋体" w:hAnsi="宋体" w:eastAsia="宋体" w:cs="宋体"/>
      <w:sz w:val="24"/>
      <w:szCs w:val="21"/>
    </w:rPr>
  </w:style>
  <w:style w:type="paragraph" w:customStyle="1" w:styleId="698">
    <w:name w:val="Char Char Char Char Char Char Char"/>
    <w:basedOn w:val="1"/>
    <w:qFormat/>
    <w:uiPriority w:val="0"/>
    <w:pPr>
      <w:widowControl/>
      <w:tabs>
        <w:tab w:val="left" w:pos="432"/>
      </w:tabs>
      <w:ind w:left="432" w:hanging="432"/>
      <w:jc w:val="left"/>
    </w:pPr>
    <w:rPr>
      <w:rFonts w:ascii="Tahoma" w:hAnsi="Tahoma" w:eastAsia="宋体" w:cs="Times New Roman"/>
      <w:sz w:val="24"/>
      <w:szCs w:val="20"/>
    </w:rPr>
  </w:style>
  <w:style w:type="paragraph" w:customStyle="1" w:styleId="699">
    <w:name w:val="Char Char1 Char Char Char Char Char Char Char Char Char Char Char Char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700">
    <w:name w:val="Char11"/>
    <w:basedOn w:val="1"/>
    <w:qFormat/>
    <w:uiPriority w:val="0"/>
    <w:pPr>
      <w:widowControl/>
      <w:jc w:val="left"/>
    </w:pPr>
    <w:rPr>
      <w:rFonts w:ascii="仿宋_GB2312" w:hAnsi="Calibri" w:eastAsia="仿宋_GB2312" w:cs="Times New Roman"/>
      <w:b/>
      <w:sz w:val="32"/>
      <w:szCs w:val="20"/>
    </w:rPr>
  </w:style>
  <w:style w:type="paragraph" w:customStyle="1" w:styleId="701">
    <w:name w:val="无间隔3"/>
    <w:basedOn w:val="1"/>
    <w:qFormat/>
    <w:uiPriority w:val="0"/>
    <w:pPr>
      <w:snapToGrid w:val="0"/>
    </w:pPr>
    <w:rPr>
      <w:rFonts w:ascii="仿宋_GB2312" w:hAnsi="Calibri" w:eastAsia="仿宋_GB2312" w:cs="Times New Roman"/>
      <w:b/>
      <w:kern w:val="0"/>
      <w:sz w:val="30"/>
      <w:szCs w:val="24"/>
    </w:rPr>
  </w:style>
  <w:style w:type="paragraph" w:customStyle="1" w:styleId="702">
    <w:name w:val="彩色列表 - 强调文字颜色 111"/>
    <w:basedOn w:val="1"/>
    <w:qFormat/>
    <w:uiPriority w:val="34"/>
    <w:pPr>
      <w:ind w:firstLine="420" w:firstLineChars="200"/>
    </w:pPr>
    <w:rPr>
      <w:rFonts w:ascii="Calibri" w:hAnsi="Calibri" w:eastAsia="宋体" w:cs="Times New Roman"/>
    </w:rPr>
  </w:style>
  <w:style w:type="paragraph" w:customStyle="1" w:styleId="703">
    <w:name w:val="小四 段落 宋体 Char Char"/>
    <w:basedOn w:val="1"/>
    <w:qFormat/>
    <w:uiPriority w:val="0"/>
    <w:pPr>
      <w:widowControl/>
      <w:spacing w:line="360" w:lineRule="auto"/>
      <w:ind w:firstLine="480" w:firstLineChars="200"/>
      <w:jc w:val="left"/>
    </w:pPr>
    <w:rPr>
      <w:rFonts w:ascii="宋体" w:hAnsi="宋体" w:eastAsia="宋体" w:cs="Times New Roman"/>
      <w:sz w:val="24"/>
      <w:szCs w:val="24"/>
    </w:rPr>
  </w:style>
  <w:style w:type="table" w:customStyle="1" w:styleId="704">
    <w:name w:val="中等深浅网格 31"/>
    <w:basedOn w:val="61"/>
    <w:qFormat/>
    <w:uiPriority w:val="0"/>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000000"/>
      </w:tcPr>
    </w:tblStylePr>
    <w:tblStylePr w:type="lastRow">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000000"/>
      </w:tcPr>
    </w:tblStylePr>
    <w:tblStylePr w:type="firstCol">
      <w:tcPr>
        <w:tcBorders>
          <w:top w:val="nil"/>
          <w:left w:val="single" w:color="CCE8CF" w:sz="8" w:space="0"/>
          <w:bottom w:val="nil"/>
          <w:right w:val="single" w:color="CCE8CF" w:sz="24" w:space="0"/>
          <w:insideH w:val="nil"/>
          <w:insideV w:val="nil"/>
          <w:tl2br w:val="nil"/>
          <w:tr2bl w:val="nil"/>
        </w:tcBorders>
        <w:shd w:val="clear" w:color="auto" w:fill="000000"/>
      </w:tcPr>
    </w:tblStylePr>
    <w:tblStylePr w:type="lastCol">
      <w:tcPr>
        <w:tcBorders>
          <w:top w:val="nil"/>
          <w:left w:val="single" w:color="CCE8CF" w:sz="24" w:space="0"/>
          <w:bottom w:val="nil"/>
          <w:right w:val="nil"/>
          <w:insideH w:val="nil"/>
          <w:insideV w:val="nil"/>
          <w:tl2br w:val="nil"/>
          <w:tr2bl w:val="nil"/>
        </w:tcBorders>
        <w:shd w:val="clear" w:color="auto" w:fill="000000"/>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808080"/>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808080"/>
      </w:tcPr>
    </w:tblStylePr>
  </w:style>
  <w:style w:type="paragraph" w:customStyle="1" w:styleId="705">
    <w:name w:val="题注1"/>
    <w:basedOn w:val="1"/>
    <w:next w:val="1"/>
    <w:unhideWhenUsed/>
    <w:qFormat/>
    <w:uiPriority w:val="99"/>
    <w:rPr>
      <w:rFonts w:ascii="Calibri Light" w:hAnsi="Calibri Light" w:eastAsia="黑体" w:cs="Times New Roman"/>
      <w:sz w:val="20"/>
      <w:szCs w:val="20"/>
    </w:rPr>
  </w:style>
  <w:style w:type="table" w:customStyle="1" w:styleId="706">
    <w:name w:val="网格型1"/>
    <w:basedOn w:val="6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07">
    <w:name w:val="批注文字 Char"/>
    <w:basedOn w:val="70"/>
    <w:qFormat/>
    <w:uiPriority w:val="99"/>
    <w:rPr>
      <w:rFonts w:ascii="Calibri" w:hAnsi="Calibri" w:eastAsia="宋体" w:cs="Times New Roman"/>
    </w:rPr>
  </w:style>
  <w:style w:type="paragraph" w:customStyle="1" w:styleId="708">
    <w:name w:val="ZJGIS-五级标题"/>
    <w:basedOn w:val="1"/>
    <w:qFormat/>
    <w:uiPriority w:val="0"/>
    <w:pPr>
      <w:numPr>
        <w:ilvl w:val="4"/>
        <w:numId w:val="5"/>
      </w:numPr>
      <w:spacing w:line="360" w:lineRule="auto"/>
      <w:ind w:firstLine="482" w:firstLineChars="200"/>
    </w:pPr>
    <w:rPr>
      <w:rFonts w:ascii="仿宋" w:hAnsi="仿宋" w:eastAsia="仿宋" w:cs="Times New Roman"/>
      <w:b/>
      <w:sz w:val="24"/>
      <w:szCs w:val="24"/>
    </w:rPr>
  </w:style>
  <w:style w:type="paragraph" w:customStyle="1" w:styleId="709">
    <w:name w:val="标题2"/>
    <w:basedOn w:val="5"/>
    <w:qFormat/>
    <w:uiPriority w:val="0"/>
    <w:pPr>
      <w:tabs>
        <w:tab w:val="left" w:pos="840"/>
      </w:tabs>
      <w:spacing w:line="416" w:lineRule="auto"/>
      <w:ind w:left="567" w:hanging="420"/>
    </w:pPr>
    <w:rPr>
      <w:rFonts w:ascii="Cambria" w:hAnsi="Cambria" w:eastAsia="宋体"/>
      <w:bCs/>
      <w:color w:val="000000"/>
      <w:szCs w:val="32"/>
    </w:rPr>
  </w:style>
  <w:style w:type="paragraph" w:customStyle="1" w:styleId="710">
    <w:name w:val="z-窗体底端1"/>
    <w:basedOn w:val="1"/>
    <w:next w:val="1"/>
    <w:qFormat/>
    <w:uiPriority w:val="0"/>
    <w:pPr>
      <w:pBdr>
        <w:top w:val="single" w:color="auto" w:sz="6" w:space="1"/>
      </w:pBdr>
      <w:jc w:val="center"/>
    </w:pPr>
    <w:rPr>
      <w:rFonts w:ascii="Arial" w:hAnsi="Arial" w:eastAsia="宋体" w:cs="Times New Roman"/>
      <w:vanish/>
      <w:sz w:val="16"/>
      <w:szCs w:val="16"/>
      <w:lang w:val="zh-CN"/>
    </w:rPr>
  </w:style>
  <w:style w:type="paragraph" w:customStyle="1" w:styleId="711">
    <w:name w:val="文章正文"/>
    <w:basedOn w:val="122"/>
    <w:qFormat/>
    <w:uiPriority w:val="0"/>
    <w:pPr>
      <w:widowControl/>
      <w:adjustRightInd w:val="0"/>
      <w:spacing w:beforeLines="0" w:afterLines="50" w:line="360" w:lineRule="auto"/>
      <w:ind w:firstLine="200" w:firstLineChars="200"/>
      <w:jc w:val="left"/>
      <w:textAlignment w:val="baseline"/>
    </w:pPr>
    <w:rPr>
      <w:rFonts w:ascii="Calibri" w:hAnsi="Calibri" w:eastAsia="仿宋_GB2312" w:cs="Times New Roman"/>
      <w:sz w:val="28"/>
      <w:szCs w:val="20"/>
    </w:rPr>
  </w:style>
  <w:style w:type="paragraph" w:customStyle="1" w:styleId="712">
    <w:name w:val="_Style 31"/>
    <w:basedOn w:val="1"/>
    <w:next w:val="114"/>
    <w:qFormat/>
    <w:uiPriority w:val="34"/>
    <w:pPr>
      <w:widowControl/>
      <w:adjustRightInd w:val="0"/>
      <w:spacing w:afterLines="50" w:line="360" w:lineRule="auto"/>
      <w:ind w:firstLine="420" w:firstLineChars="200"/>
      <w:jc w:val="left"/>
      <w:textAlignment w:val="baseline"/>
    </w:pPr>
    <w:rPr>
      <w:rFonts w:ascii="等线" w:hAnsi="等线" w:eastAsia="等线" w:cs="Times New Roman"/>
      <w:kern w:val="0"/>
      <w:sz w:val="28"/>
      <w:szCs w:val="20"/>
    </w:rPr>
  </w:style>
  <w:style w:type="paragraph" w:customStyle="1" w:styleId="713">
    <w:name w:val="列表段落11"/>
    <w:basedOn w:val="1"/>
    <w:qFormat/>
    <w:uiPriority w:val="34"/>
    <w:pPr>
      <w:ind w:firstLine="420" w:firstLineChars="200"/>
    </w:pPr>
    <w:rPr>
      <w:rFonts w:ascii="Calibri" w:hAnsi="Calibri" w:eastAsia="宋体" w:cs="Times New Roman"/>
    </w:rPr>
  </w:style>
  <w:style w:type="paragraph" w:customStyle="1" w:styleId="714">
    <w:name w:val="_Style 45"/>
    <w:basedOn w:val="1"/>
    <w:next w:val="114"/>
    <w:qFormat/>
    <w:uiPriority w:val="34"/>
    <w:pPr>
      <w:ind w:firstLine="420" w:firstLineChars="200"/>
    </w:pPr>
    <w:rPr>
      <w:rFonts w:ascii="Times New Roman" w:hAnsi="Times New Roman" w:eastAsia="宋体" w:cs="Times New Roman"/>
    </w:rPr>
  </w:style>
  <w:style w:type="paragraph" w:customStyle="1" w:styleId="71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1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717">
    <w:name w:val="无间隔4"/>
    <w:next w:val="718"/>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718">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719">
    <w:name w:val="A_表格头"/>
    <w:basedOn w:val="1"/>
    <w:qFormat/>
    <w:uiPriority w:val="0"/>
    <w:pPr>
      <w:jc w:val="center"/>
    </w:pPr>
    <w:rPr>
      <w:rFonts w:ascii="Times New Roman" w:hAnsi="Times New Roman" w:eastAsia="黑体" w:cs="Times New Roman"/>
      <w:bCs/>
      <w:kern w:val="0"/>
      <w:szCs w:val="20"/>
    </w:rPr>
  </w:style>
  <w:style w:type="paragraph" w:customStyle="1" w:styleId="720">
    <w:name w:val="A_表格正文（居中）"/>
    <w:basedOn w:val="1"/>
    <w:qFormat/>
    <w:uiPriority w:val="0"/>
    <w:pPr>
      <w:jc w:val="center"/>
    </w:pPr>
    <w:rPr>
      <w:rFonts w:ascii="Times New Roman" w:hAnsi="Times New Roman" w:eastAsia="仿宋" w:cs="Times New Roman"/>
      <w:kern w:val="0"/>
      <w:szCs w:val="20"/>
    </w:rPr>
  </w:style>
  <w:style w:type="paragraph" w:customStyle="1" w:styleId="721">
    <w:name w:val="A_表格正文（加黑）"/>
    <w:basedOn w:val="720"/>
    <w:qFormat/>
    <w:uiPriority w:val="0"/>
    <w:rPr>
      <w:b/>
      <w:color w:val="000000"/>
    </w:rPr>
  </w:style>
  <w:style w:type="character" w:customStyle="1" w:styleId="722">
    <w:name w:val="标题 Char"/>
    <w:qFormat/>
    <w:uiPriority w:val="0"/>
    <w:rPr>
      <w:rFonts w:ascii="宋体" w:hAnsi="Courier New" w:eastAsia="宋体" w:cs="Courier New"/>
      <w:kern w:val="2"/>
      <w:sz w:val="21"/>
      <w:szCs w:val="21"/>
      <w:lang w:val="en-US" w:eastAsia="zh-CN" w:bidi="ar-SA"/>
    </w:rPr>
  </w:style>
  <w:style w:type="character" w:customStyle="1" w:styleId="723">
    <w:name w:val="普通(网站) 字符"/>
    <w:link w:val="58"/>
    <w:qFormat/>
    <w:locked/>
    <w:uiPriority w:val="0"/>
    <w:rPr>
      <w:rFonts w:ascii="(使用中文字体)" w:hAnsi="(使用中文字体)" w:cs="(使用中文字体)"/>
      <w:sz w:val="24"/>
      <w:szCs w:val="24"/>
    </w:rPr>
  </w:style>
  <w:style w:type="paragraph" w:customStyle="1" w:styleId="724">
    <w:name w:val="目录 54"/>
    <w:next w:val="1"/>
    <w:qFormat/>
    <w:uiPriority w:val="0"/>
    <w:pPr>
      <w:wordWrap w:val="0"/>
      <w:ind w:left="1275"/>
      <w:jc w:val="both"/>
    </w:pPr>
    <w:rPr>
      <w:rFonts w:ascii="Times New Roman" w:hAnsi="Times New Roman" w:eastAsia="宋体" w:cs="Times New Roman"/>
      <w:sz w:val="21"/>
      <w:lang w:val="en-US" w:eastAsia="zh-CN" w:bidi="ar-SA"/>
    </w:rPr>
  </w:style>
  <w:style w:type="paragraph" w:customStyle="1" w:styleId="725">
    <w:name w:val="正文（首行缩进2字符）"/>
    <w:basedOn w:val="1"/>
    <w:qFormat/>
    <w:uiPriority w:val="0"/>
    <w:pPr>
      <w:wordWrap w:val="0"/>
      <w:spacing w:line="360" w:lineRule="auto"/>
      <w:ind w:firstLine="420" w:firstLineChars="200"/>
    </w:pPr>
    <w:rPr>
      <w:rFonts w:ascii="宋体" w:hAnsi="Calibri" w:eastAsia="宋体" w:cs="宋体"/>
      <w:szCs w:val="21"/>
    </w:rPr>
  </w:style>
  <w:style w:type="paragraph" w:customStyle="1" w:styleId="726">
    <w:name w:val="正文缩进2"/>
    <w:next w:val="1"/>
    <w:qFormat/>
    <w:uiPriority w:val="0"/>
    <w:pPr>
      <w:wordWrap w:val="0"/>
      <w:ind w:left="3400"/>
      <w:jc w:val="both"/>
    </w:pPr>
    <w:rPr>
      <w:rFonts w:ascii="Times New Roman" w:hAnsi="Times New Roman" w:eastAsia="宋体" w:cs="Times New Roman"/>
      <w:sz w:val="21"/>
      <w:lang w:val="en-US" w:eastAsia="zh-CN" w:bidi="ar-SA"/>
    </w:rPr>
  </w:style>
  <w:style w:type="paragraph" w:customStyle="1" w:styleId="727">
    <w:name w:val="[Normal]"/>
    <w:qFormat/>
    <w:uiPriority w:val="0"/>
    <w:rPr>
      <w:rFonts w:ascii="宋体" w:hAnsi="宋体" w:eastAsia="宋体" w:cs="Times New Roman"/>
      <w:sz w:val="24"/>
      <w:szCs w:val="22"/>
      <w:lang w:val="zh-CN" w:eastAsia="zh-CN" w:bidi="ar-SA"/>
    </w:rPr>
  </w:style>
  <w:style w:type="paragraph" w:customStyle="1" w:styleId="728">
    <w:name w:val="正文首行缩进 21"/>
    <w:basedOn w:val="395"/>
    <w:qFormat/>
    <w:uiPriority w:val="0"/>
    <w:pPr>
      <w:ind w:firstLine="420"/>
    </w:pPr>
  </w:style>
  <w:style w:type="paragraph" w:customStyle="1" w:styleId="729">
    <w:name w:val="_Style 3"/>
    <w:basedOn w:val="1"/>
    <w:qFormat/>
    <w:uiPriority w:val="34"/>
    <w:pPr>
      <w:widowControl/>
      <w:spacing w:after="200" w:line="276" w:lineRule="auto"/>
      <w:ind w:left="720"/>
      <w:contextualSpacing/>
      <w:jc w:val="left"/>
    </w:pPr>
    <w:rPr>
      <w:rFonts w:ascii="Calibri" w:hAnsi="Calibri"/>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73</Pages>
  <Words>2539</Words>
  <Characters>3063</Characters>
  <Lines>301</Lines>
  <Paragraphs>84</Paragraphs>
  <TotalTime>8</TotalTime>
  <ScaleCrop>false</ScaleCrop>
  <LinksUpToDate>false</LinksUpToDate>
  <CharactersWithSpaces>3101</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2022-09-12T10:24:00Z</dcterms:created>
  <dc:creator>黄 晓</dc:creator>
  <cp:lastModifiedBy>小朋友要去上学了</cp:lastModifiedBy>
  <cp:lastPrinted>2025-02-14T09:51:00Z</cp:lastPrinted>
  <dcterms:modified xsi:type="dcterms:W3CDTF">2025-08-11T03:37:42Z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42CCCDAADAF04B31800116D46B0FB695_13</vt:lpwstr>
  </property>
  <property fmtid="{D5CDD505-2E9C-101B-9397-08002B2CF9AE}" pid="4" name="KSOTemplateDocerSaveRecord">
    <vt:lpwstr>eyJoZGlkIjoiOTVlZDNiNjc4N2Y5YzJiNWY0NjQxMTBmZmRlYWU5ZTMiLCJ1c2VySWQiOiI1MzgwNTcwNjcifQ==</vt:lpwstr>
  </property>
</Properties>
</file>